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910" w:rsidRDefault="00057F5C">
      <w:pPr>
        <w:spacing w:after="0"/>
      </w:pPr>
      <w:r>
        <w:rPr>
          <w:noProof/>
        </w:rPr>
        <w:drawing>
          <wp:anchor distT="0" distB="0" distL="114300" distR="114300" simplePos="0" relativeHeight="251658240" behindDoc="0" locked="0" layoutInCell="1" allowOverlap="1">
            <wp:simplePos x="0" y="0"/>
            <wp:positionH relativeFrom="column">
              <wp:posOffset>-541207</wp:posOffset>
            </wp:positionH>
            <wp:positionV relativeFrom="paragraph">
              <wp:posOffset>35859</wp:posOffset>
            </wp:positionV>
            <wp:extent cx="7082118" cy="10022333"/>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80131" name="Imagem 493680131"/>
                    <pic:cNvPicPr>
                      <a:picLocks noChangeAspect="1"/>
                    </pic:cNvPicPr>
                  </pic:nvPicPr>
                  <pic:blipFill rotWithShape="1">
                    <a:blip r:embed="rId8"/>
                    <a:stretch/>
                  </pic:blipFill>
                  <pic:spPr bwMode="auto">
                    <a:xfrm>
                      <a:off x="0" y="0"/>
                      <a:ext cx="7090912" cy="10034778"/>
                    </a:xfrm>
                    <a:prstGeom prst="rect">
                      <a:avLst/>
                    </a:prstGeom>
                  </pic:spPr>
                </pic:pic>
              </a:graphicData>
            </a:graphic>
            <wp14:sizeRelH relativeFrom="page">
              <wp14:pctWidth>0</wp14:pctWidth>
            </wp14:sizeRelH>
            <wp14:sizeRelV relativeFrom="page">
              <wp14:pctHeight>0</wp14:pctHeight>
            </wp14:sizeRelV>
          </wp:anchor>
        </w:drawing>
      </w:r>
    </w:p>
    <w:p w:rsidR="000B5910" w:rsidRDefault="000B5910">
      <w:pPr>
        <w:spacing w:before="480" w:after="0"/>
        <w:jc w:val="center"/>
      </w:pPr>
    </w:p>
    <w:p w:rsidR="000B5910" w:rsidRDefault="000B5910">
      <w:pPr>
        <w:sectPr w:rsidR="000B5910">
          <w:pgSz w:w="12240" w:h="15840"/>
          <w:pgMar w:top="0" w:right="1417" w:bottom="1417" w:left="1417" w:header="680" w:footer="680" w:gutter="0"/>
          <w:cols w:space="720"/>
        </w:sectPr>
      </w:pPr>
    </w:p>
    <w:p w:rsidR="000B5910" w:rsidRPr="00057F5C" w:rsidRDefault="00057F5C">
      <w:pPr>
        <w:spacing w:after="40"/>
        <w:rPr>
          <w:sz w:val="28"/>
          <w:szCs w:val="28"/>
        </w:rPr>
      </w:pPr>
      <w:r w:rsidRPr="00057F5C">
        <w:rPr>
          <w:b/>
          <w:color w:val="1A1A1A"/>
          <w:sz w:val="28"/>
          <w:szCs w:val="28"/>
        </w:rPr>
        <w:lastRenderedPageBreak/>
        <w:t>19º ENDOSUL 2026</w:t>
      </w:r>
    </w:p>
    <w:p w:rsidR="000B5910" w:rsidRPr="00057F5C" w:rsidRDefault="00057F5C">
      <w:pPr>
        <w:spacing w:after="240"/>
        <w:rPr>
          <w:sz w:val="28"/>
          <w:szCs w:val="28"/>
        </w:rPr>
      </w:pPr>
      <w:r w:rsidRPr="00057F5C">
        <w:rPr>
          <w:b/>
          <w:color w:val="1A1A1A"/>
          <w:sz w:val="28"/>
          <w:szCs w:val="28"/>
        </w:rPr>
        <w:t>Congresso de Endocrinologia e Metabologia da Região Sul</w:t>
      </w:r>
    </w:p>
    <w:p w:rsidR="000B5910" w:rsidRPr="00543B9C" w:rsidRDefault="00057F5C">
      <w:pPr>
        <w:spacing w:before="120" w:after="20"/>
        <w:rPr>
          <w:sz w:val="22"/>
        </w:rPr>
      </w:pPr>
      <w:r w:rsidRPr="00543B9C">
        <w:rPr>
          <w:b/>
          <w:color w:val="1A1A1A"/>
          <w:sz w:val="22"/>
        </w:rPr>
        <w:t>Presidente</w:t>
      </w:r>
    </w:p>
    <w:p w:rsidR="000B5910" w:rsidRPr="00543B9C" w:rsidRDefault="00057F5C">
      <w:pPr>
        <w:spacing w:after="160"/>
        <w:rPr>
          <w:sz w:val="22"/>
        </w:rPr>
      </w:pPr>
      <w:r w:rsidRPr="00543B9C">
        <w:rPr>
          <w:sz w:val="22"/>
        </w:rPr>
        <w:t>Dra. Carolina Garcia Soares Leães Rech</w:t>
      </w:r>
    </w:p>
    <w:p w:rsidR="000B5910" w:rsidRPr="00543B9C" w:rsidRDefault="00057F5C">
      <w:pPr>
        <w:spacing w:after="20"/>
        <w:rPr>
          <w:sz w:val="22"/>
        </w:rPr>
      </w:pPr>
      <w:r w:rsidRPr="00543B9C">
        <w:rPr>
          <w:b/>
          <w:color w:val="1A1A1A"/>
          <w:sz w:val="22"/>
        </w:rPr>
        <w:t>Comissão Organizadora</w:t>
      </w:r>
    </w:p>
    <w:p w:rsidR="000B5910" w:rsidRPr="00543B9C" w:rsidRDefault="00057F5C">
      <w:pPr>
        <w:spacing w:after="0"/>
        <w:rPr>
          <w:sz w:val="22"/>
        </w:rPr>
      </w:pPr>
      <w:r w:rsidRPr="00543B9C">
        <w:rPr>
          <w:sz w:val="22"/>
        </w:rPr>
        <w:t>Dra. Carolina Garcia Soares Leães Rech – RS</w:t>
      </w:r>
    </w:p>
    <w:p w:rsidR="000B5910" w:rsidRPr="00543B9C" w:rsidRDefault="00057F5C">
      <w:pPr>
        <w:spacing w:after="0"/>
        <w:rPr>
          <w:sz w:val="22"/>
        </w:rPr>
      </w:pPr>
      <w:r w:rsidRPr="00543B9C">
        <w:rPr>
          <w:sz w:val="22"/>
        </w:rPr>
        <w:t>Dra. Georgia Chichelero – RS</w:t>
      </w:r>
    </w:p>
    <w:p w:rsidR="000B5910" w:rsidRPr="00543B9C" w:rsidRDefault="00057F5C">
      <w:pPr>
        <w:spacing w:after="0"/>
        <w:rPr>
          <w:sz w:val="22"/>
        </w:rPr>
      </w:pPr>
      <w:r w:rsidRPr="00543B9C">
        <w:rPr>
          <w:sz w:val="22"/>
        </w:rPr>
        <w:t>Dr. José Miguel Dora – RS</w:t>
      </w:r>
    </w:p>
    <w:p w:rsidR="000B5910" w:rsidRPr="00543B9C" w:rsidRDefault="00057F5C">
      <w:pPr>
        <w:spacing w:after="0"/>
        <w:rPr>
          <w:sz w:val="22"/>
        </w:rPr>
      </w:pPr>
      <w:r w:rsidRPr="00543B9C">
        <w:rPr>
          <w:sz w:val="22"/>
        </w:rPr>
        <w:t>Dra. Letícia Schwerz Weinert – RS</w:t>
      </w:r>
    </w:p>
    <w:p w:rsidR="000B5910" w:rsidRPr="00543B9C" w:rsidRDefault="00057F5C">
      <w:pPr>
        <w:spacing w:after="0"/>
        <w:rPr>
          <w:sz w:val="22"/>
        </w:rPr>
      </w:pPr>
      <w:r w:rsidRPr="00543B9C">
        <w:rPr>
          <w:sz w:val="22"/>
        </w:rPr>
        <w:t>Dr. Leonardo Barbi Walter – RS</w:t>
      </w:r>
    </w:p>
    <w:p w:rsidR="000B5910" w:rsidRPr="00543B9C" w:rsidRDefault="00057F5C">
      <w:pPr>
        <w:spacing w:after="0"/>
        <w:rPr>
          <w:sz w:val="22"/>
        </w:rPr>
      </w:pPr>
      <w:r w:rsidRPr="00543B9C">
        <w:rPr>
          <w:sz w:val="22"/>
        </w:rPr>
        <w:t>Dr. Mateus Dornelles Severo – RS</w:t>
      </w:r>
    </w:p>
    <w:p w:rsidR="000B5910" w:rsidRPr="00543B9C" w:rsidRDefault="00057F5C">
      <w:pPr>
        <w:spacing w:after="0"/>
        <w:rPr>
          <w:sz w:val="22"/>
        </w:rPr>
      </w:pPr>
      <w:r w:rsidRPr="00543B9C">
        <w:rPr>
          <w:sz w:val="22"/>
        </w:rPr>
        <w:t>Dra. Ticiana da Costa Rodrigues – RS</w:t>
      </w:r>
    </w:p>
    <w:p w:rsidR="000B5910" w:rsidRPr="00543B9C" w:rsidRDefault="00057F5C">
      <w:pPr>
        <w:spacing w:after="0"/>
        <w:rPr>
          <w:sz w:val="22"/>
        </w:rPr>
      </w:pPr>
      <w:r w:rsidRPr="00543B9C">
        <w:rPr>
          <w:sz w:val="22"/>
        </w:rPr>
        <w:t>Dra. Maristela de Oliveira Beck – RS</w:t>
      </w:r>
    </w:p>
    <w:p w:rsidR="000B5910" w:rsidRPr="00543B9C" w:rsidRDefault="00057F5C">
      <w:pPr>
        <w:spacing w:after="0"/>
        <w:rPr>
          <w:sz w:val="22"/>
        </w:rPr>
      </w:pPr>
      <w:r w:rsidRPr="00543B9C">
        <w:rPr>
          <w:sz w:val="22"/>
        </w:rPr>
        <w:t>Dr. Vicente Florentino Castaldo Andrade – PR</w:t>
      </w:r>
    </w:p>
    <w:p w:rsidR="000B5910" w:rsidRPr="00543B9C" w:rsidRDefault="00057F5C">
      <w:pPr>
        <w:spacing w:after="0"/>
        <w:rPr>
          <w:sz w:val="22"/>
        </w:rPr>
      </w:pPr>
      <w:r w:rsidRPr="00543B9C">
        <w:rPr>
          <w:sz w:val="22"/>
        </w:rPr>
        <w:t>Dr. Fulvio Thomaselli – SC</w:t>
      </w:r>
    </w:p>
    <w:p w:rsidR="000B5910" w:rsidRPr="00543B9C" w:rsidRDefault="00057F5C">
      <w:pPr>
        <w:spacing w:before="160" w:after="20"/>
        <w:rPr>
          <w:sz w:val="22"/>
        </w:rPr>
      </w:pPr>
      <w:r w:rsidRPr="00543B9C">
        <w:rPr>
          <w:b/>
          <w:color w:val="1A1A1A"/>
          <w:sz w:val="22"/>
        </w:rPr>
        <w:t>Comissão Avaliadora</w:t>
      </w:r>
    </w:p>
    <w:p w:rsidR="000B5910" w:rsidRPr="00543B9C" w:rsidRDefault="00057F5C">
      <w:pPr>
        <w:spacing w:after="0"/>
        <w:rPr>
          <w:sz w:val="22"/>
        </w:rPr>
      </w:pPr>
      <w:r w:rsidRPr="00543B9C">
        <w:rPr>
          <w:sz w:val="22"/>
        </w:rPr>
        <w:t>Dra. Georgia Chichelero – RS</w:t>
      </w:r>
    </w:p>
    <w:p w:rsidR="000B5910" w:rsidRPr="00543B9C" w:rsidRDefault="00057F5C">
      <w:pPr>
        <w:spacing w:after="0"/>
        <w:rPr>
          <w:sz w:val="22"/>
        </w:rPr>
      </w:pPr>
      <w:r w:rsidRPr="00543B9C">
        <w:rPr>
          <w:sz w:val="22"/>
        </w:rPr>
        <w:t>Dr. Fernando Gerchmann – RS</w:t>
      </w:r>
    </w:p>
    <w:p w:rsidR="000B5910" w:rsidRPr="00543B9C" w:rsidRDefault="00057F5C">
      <w:pPr>
        <w:spacing w:after="0"/>
        <w:rPr>
          <w:sz w:val="22"/>
        </w:rPr>
      </w:pPr>
      <w:r w:rsidRPr="00543B9C">
        <w:rPr>
          <w:sz w:val="22"/>
        </w:rPr>
        <w:t>Dra. Erica Mayer – RS</w:t>
      </w:r>
    </w:p>
    <w:p w:rsidR="000B5910" w:rsidRPr="00543B9C" w:rsidRDefault="00057F5C">
      <w:pPr>
        <w:spacing w:after="0"/>
        <w:rPr>
          <w:sz w:val="22"/>
        </w:rPr>
      </w:pPr>
      <w:r w:rsidRPr="00543B9C">
        <w:rPr>
          <w:sz w:val="22"/>
        </w:rPr>
        <w:t>Dr. Iuri Goeneman – RS</w:t>
      </w:r>
    </w:p>
    <w:p w:rsidR="000B5910" w:rsidRPr="00543B9C" w:rsidRDefault="00057F5C">
      <w:pPr>
        <w:spacing w:after="0"/>
        <w:rPr>
          <w:sz w:val="22"/>
        </w:rPr>
      </w:pPr>
      <w:r w:rsidRPr="00543B9C">
        <w:rPr>
          <w:sz w:val="22"/>
        </w:rPr>
        <w:t>Dra. Lenara Golbert – RS</w:t>
      </w:r>
    </w:p>
    <w:p w:rsidR="000B5910" w:rsidRPr="00543B9C" w:rsidRDefault="00057F5C">
      <w:pPr>
        <w:spacing w:after="0"/>
        <w:rPr>
          <w:sz w:val="22"/>
        </w:rPr>
      </w:pPr>
      <w:r w:rsidRPr="00543B9C">
        <w:rPr>
          <w:sz w:val="22"/>
        </w:rPr>
        <w:t>Dr. Rafael Vaz Machry – RS</w:t>
      </w:r>
    </w:p>
    <w:p w:rsidR="000B5910" w:rsidRPr="00543B9C" w:rsidRDefault="00057F5C">
      <w:pPr>
        <w:spacing w:after="0"/>
        <w:rPr>
          <w:sz w:val="22"/>
        </w:rPr>
      </w:pPr>
      <w:r w:rsidRPr="00543B9C">
        <w:rPr>
          <w:sz w:val="22"/>
        </w:rPr>
        <w:t>Dra. Miriam da Costa Oliveira – RS</w:t>
      </w:r>
    </w:p>
    <w:p w:rsidR="000B5910" w:rsidRPr="00543B9C" w:rsidRDefault="00057F5C">
      <w:pPr>
        <w:spacing w:after="0"/>
        <w:rPr>
          <w:sz w:val="22"/>
        </w:rPr>
      </w:pPr>
      <w:r w:rsidRPr="00543B9C">
        <w:rPr>
          <w:sz w:val="22"/>
        </w:rPr>
        <w:t>Dr. Rafael Loch Batista – RS</w:t>
      </w:r>
    </w:p>
    <w:p w:rsidR="000B5910" w:rsidRPr="00543B9C" w:rsidRDefault="00057F5C">
      <w:pPr>
        <w:spacing w:after="0"/>
        <w:rPr>
          <w:sz w:val="22"/>
        </w:rPr>
      </w:pPr>
      <w:r w:rsidRPr="00543B9C">
        <w:rPr>
          <w:sz w:val="22"/>
        </w:rPr>
        <w:t>Dr. Rafael Selbach Scheffel – RS</w:t>
      </w:r>
    </w:p>
    <w:p w:rsidR="000B5910" w:rsidRPr="00543B9C" w:rsidRDefault="00057F5C">
      <w:pPr>
        <w:spacing w:after="0"/>
        <w:rPr>
          <w:sz w:val="22"/>
        </w:rPr>
      </w:pPr>
      <w:r w:rsidRPr="00543B9C">
        <w:rPr>
          <w:sz w:val="22"/>
        </w:rPr>
        <w:t>Dra. Carolina Garcia Soares Leães Rech – RS</w:t>
      </w:r>
    </w:p>
    <w:p w:rsidR="000B5910" w:rsidRPr="00543B9C" w:rsidRDefault="00057F5C">
      <w:pPr>
        <w:spacing w:after="0"/>
        <w:rPr>
          <w:sz w:val="22"/>
        </w:rPr>
      </w:pPr>
      <w:r w:rsidRPr="00543B9C">
        <w:rPr>
          <w:sz w:val="22"/>
        </w:rPr>
        <w:t>Dr. José Miguel Dora – RS</w:t>
      </w:r>
    </w:p>
    <w:p w:rsidR="000B5910" w:rsidRPr="00543B9C" w:rsidRDefault="00057F5C">
      <w:pPr>
        <w:spacing w:after="0"/>
        <w:rPr>
          <w:sz w:val="22"/>
        </w:rPr>
      </w:pPr>
      <w:r w:rsidRPr="00543B9C">
        <w:rPr>
          <w:sz w:val="22"/>
        </w:rPr>
        <w:t>Dra. Letícia Schwerz Weinert – RS</w:t>
      </w:r>
    </w:p>
    <w:p w:rsidR="000B5910" w:rsidRPr="00543B9C" w:rsidRDefault="00057F5C">
      <w:pPr>
        <w:spacing w:after="0"/>
        <w:rPr>
          <w:sz w:val="22"/>
        </w:rPr>
      </w:pPr>
      <w:r w:rsidRPr="00543B9C">
        <w:rPr>
          <w:sz w:val="22"/>
        </w:rPr>
        <w:t>Dr. Leonardo Barbi Walter – RS</w:t>
      </w:r>
    </w:p>
    <w:p w:rsidR="000B5910" w:rsidRPr="00543B9C" w:rsidRDefault="00057F5C">
      <w:pPr>
        <w:spacing w:after="0"/>
        <w:rPr>
          <w:sz w:val="22"/>
        </w:rPr>
      </w:pPr>
      <w:r w:rsidRPr="00543B9C">
        <w:rPr>
          <w:sz w:val="22"/>
        </w:rPr>
        <w:t>Dra. Maristela de Oliveira Beck – RS</w:t>
      </w:r>
    </w:p>
    <w:p w:rsidR="000B5910" w:rsidRPr="00543B9C" w:rsidRDefault="00057F5C">
      <w:pPr>
        <w:spacing w:after="0"/>
        <w:rPr>
          <w:sz w:val="22"/>
        </w:rPr>
      </w:pPr>
      <w:r w:rsidRPr="00543B9C">
        <w:rPr>
          <w:sz w:val="22"/>
        </w:rPr>
        <w:t>Dr. Fulvio Thomaselli – SC</w:t>
      </w:r>
    </w:p>
    <w:p w:rsidR="000B5910" w:rsidRPr="00543B9C" w:rsidRDefault="00057F5C">
      <w:pPr>
        <w:spacing w:after="0"/>
        <w:rPr>
          <w:sz w:val="22"/>
        </w:rPr>
      </w:pPr>
      <w:r w:rsidRPr="00543B9C">
        <w:rPr>
          <w:sz w:val="22"/>
        </w:rPr>
        <w:t>Dr. Vicente Florentino Castaldo Andrade – PR</w:t>
      </w:r>
    </w:p>
    <w:p w:rsidR="000B5910" w:rsidRPr="00543B9C" w:rsidRDefault="00057F5C">
      <w:pPr>
        <w:spacing w:after="0"/>
        <w:rPr>
          <w:sz w:val="22"/>
        </w:rPr>
      </w:pPr>
      <w:r w:rsidRPr="00543B9C">
        <w:rPr>
          <w:sz w:val="22"/>
        </w:rPr>
        <w:t>Dra. Roberta Martins Costa Moreira Allgayer – RS</w:t>
      </w:r>
    </w:p>
    <w:p w:rsidR="000B5910" w:rsidRPr="00543B9C" w:rsidRDefault="00057F5C">
      <w:pPr>
        <w:spacing w:after="0"/>
        <w:rPr>
          <w:sz w:val="22"/>
        </w:rPr>
      </w:pPr>
      <w:r w:rsidRPr="00543B9C">
        <w:rPr>
          <w:sz w:val="22"/>
        </w:rPr>
        <w:t>Dra. Cristiane Bauermann Leitão – RS</w:t>
      </w:r>
    </w:p>
    <w:p w:rsidR="000B5910" w:rsidRPr="00543B9C" w:rsidRDefault="00057F5C">
      <w:pPr>
        <w:spacing w:after="0"/>
        <w:rPr>
          <w:sz w:val="22"/>
        </w:rPr>
      </w:pPr>
      <w:r w:rsidRPr="00543B9C">
        <w:rPr>
          <w:sz w:val="22"/>
        </w:rPr>
        <w:t>Dra. Luciana Verçoza Viana – RS</w:t>
      </w:r>
    </w:p>
    <w:p w:rsidR="000B5910" w:rsidRPr="00543B9C" w:rsidRDefault="00057F5C">
      <w:pPr>
        <w:spacing w:after="0"/>
        <w:rPr>
          <w:sz w:val="22"/>
        </w:rPr>
      </w:pPr>
      <w:r w:rsidRPr="00543B9C">
        <w:rPr>
          <w:sz w:val="22"/>
        </w:rPr>
        <w:t>Dr. Luis Henrique Santos Canani – RS</w:t>
      </w:r>
    </w:p>
    <w:p w:rsidR="000B5910" w:rsidRDefault="000B5910">
      <w:pPr>
        <w:spacing w:before="360" w:after="160"/>
        <w:jc w:val="center"/>
        <w:rPr>
          <w:b/>
          <w:color w:val="1A1A1A"/>
          <w:sz w:val="26"/>
        </w:rPr>
      </w:pPr>
    </w:p>
    <w:p w:rsidR="000B5910" w:rsidRDefault="000B5910">
      <w:pPr>
        <w:spacing w:before="360" w:after="160"/>
        <w:jc w:val="center"/>
        <w:rPr>
          <w:b/>
          <w:color w:val="1A1A1A"/>
          <w:sz w:val="26"/>
        </w:rPr>
      </w:pPr>
    </w:p>
    <w:p w:rsidR="000B5910" w:rsidRDefault="000B5910">
      <w:pPr>
        <w:spacing w:before="360" w:after="160"/>
        <w:jc w:val="center"/>
        <w:rPr>
          <w:b/>
          <w:color w:val="1A1A1A"/>
          <w:sz w:val="26"/>
        </w:rPr>
      </w:pPr>
    </w:p>
    <w:p w:rsidR="000B5910" w:rsidRPr="00057F5C" w:rsidRDefault="00057F5C">
      <w:pPr>
        <w:spacing w:before="360" w:after="160"/>
        <w:jc w:val="center"/>
        <w:rPr>
          <w:b/>
          <w:bCs/>
          <w:color w:val="1A1A1A"/>
          <w:sz w:val="28"/>
          <w:szCs w:val="28"/>
        </w:rPr>
      </w:pPr>
      <w:r w:rsidRPr="00057F5C">
        <w:rPr>
          <w:b/>
          <w:color w:val="1A1A1A"/>
          <w:sz w:val="28"/>
          <w:szCs w:val="28"/>
        </w:rPr>
        <w:t>Apresentação</w:t>
      </w:r>
    </w:p>
    <w:p w:rsidR="000B5910" w:rsidRDefault="000B5910">
      <w:pPr>
        <w:spacing w:before="360" w:after="160"/>
        <w:jc w:val="center"/>
      </w:pPr>
    </w:p>
    <w:p w:rsidR="000B5910" w:rsidRPr="00543B9C" w:rsidRDefault="00057F5C">
      <w:pPr>
        <w:spacing w:after="120"/>
        <w:ind w:firstLine="567"/>
        <w:jc w:val="both"/>
        <w:rPr>
          <w:sz w:val="22"/>
          <w:szCs w:val="21"/>
        </w:rPr>
      </w:pPr>
      <w:r w:rsidRPr="00543B9C">
        <w:rPr>
          <w:sz w:val="22"/>
          <w:szCs w:val="21"/>
        </w:rPr>
        <w:t>Chegando à sua 19ª edição, o Endosul – Congresso de Endocrinologia e Metabologia da Região Sul – reafirma sua tradição como o maior encontro científico da Endocrinologia e Metabologia da Região Sul do Brasil, promovido pelas regionais da SBEM do Rio Grande do Sul, Santa Catarina e Paraná.</w:t>
      </w:r>
    </w:p>
    <w:p w:rsidR="000B5910" w:rsidRPr="00543B9C" w:rsidRDefault="00057F5C">
      <w:pPr>
        <w:spacing w:after="120"/>
        <w:ind w:firstLine="567"/>
        <w:jc w:val="both"/>
        <w:rPr>
          <w:sz w:val="22"/>
          <w:szCs w:val="21"/>
        </w:rPr>
      </w:pPr>
      <w:r w:rsidRPr="00543B9C">
        <w:rPr>
          <w:sz w:val="22"/>
          <w:szCs w:val="21"/>
        </w:rPr>
        <w:t xml:space="preserve">Mais do que um congresso, o Endosul é um ponto de encontro entre colegas que compartilham a mesma paixão por uma especialidade única, que cuida do paciente de forma ampla, contínua e integrada. </w:t>
      </w:r>
      <w:proofErr w:type="gramStart"/>
      <w:r w:rsidRPr="00543B9C">
        <w:rPr>
          <w:sz w:val="22"/>
          <w:szCs w:val="21"/>
        </w:rPr>
        <w:t>A</w:t>
      </w:r>
      <w:proofErr w:type="gramEnd"/>
      <w:r w:rsidRPr="00543B9C">
        <w:rPr>
          <w:sz w:val="22"/>
          <w:szCs w:val="21"/>
        </w:rPr>
        <w:t xml:space="preserve"> Endocrinologia e Metabologia abrange múltiplos sistemas, exige visão global e articulação com diversas especialidades, tornando-se essencial em quase todas as áreas da prática clínica moderna.</w:t>
      </w:r>
    </w:p>
    <w:p w:rsidR="000B5910" w:rsidRPr="00543B9C" w:rsidRDefault="00057F5C">
      <w:pPr>
        <w:spacing w:after="120"/>
        <w:ind w:firstLine="567"/>
        <w:jc w:val="both"/>
        <w:rPr>
          <w:sz w:val="22"/>
          <w:szCs w:val="21"/>
        </w:rPr>
      </w:pPr>
      <w:r w:rsidRPr="00543B9C">
        <w:rPr>
          <w:sz w:val="22"/>
          <w:szCs w:val="21"/>
        </w:rPr>
        <w:t xml:space="preserve">Os Anais do Endosul 2026 reúnem a produção científica de alunos, mestrandos, doutorandos e professores vinculados a diversas faculdades e universidades da região Sul do Brasil. Este compilado reflete a diversidade, a qualidade e o rigor das pesquisas desenvolvidas na área da Endocrinologia e Metabologia, evidenciando o compromisso das instituições e de seus pesquisadores com o avanço do conhecimento científico. Ao congregar diferentes níveis de formação acadêmica, os anais destacam </w:t>
      </w:r>
      <w:proofErr w:type="gramStart"/>
      <w:r w:rsidRPr="00543B9C">
        <w:rPr>
          <w:sz w:val="22"/>
          <w:szCs w:val="21"/>
        </w:rPr>
        <w:t>a</w:t>
      </w:r>
      <w:proofErr w:type="gramEnd"/>
      <w:r w:rsidRPr="00543B9C">
        <w:rPr>
          <w:sz w:val="22"/>
          <w:szCs w:val="21"/>
        </w:rPr>
        <w:t xml:space="preserve"> integração entre ensino, pesquisa e prática clínica, promovendo a troca de experiências e a disseminação de evidências relevantes para a comunidade científica e assistencial.</w:t>
      </w:r>
    </w:p>
    <w:p w:rsidR="000B5910" w:rsidRPr="00543B9C" w:rsidRDefault="00057F5C">
      <w:pPr>
        <w:spacing w:after="120"/>
        <w:ind w:firstLine="567"/>
        <w:jc w:val="both"/>
        <w:rPr>
          <w:sz w:val="22"/>
          <w:szCs w:val="21"/>
        </w:rPr>
      </w:pPr>
      <w:r w:rsidRPr="00543B9C">
        <w:rPr>
          <w:sz w:val="22"/>
          <w:szCs w:val="21"/>
        </w:rPr>
        <w:t>Boa leitura!</w:t>
      </w:r>
    </w:p>
    <w:p w:rsidR="000B5910" w:rsidRPr="00543B9C" w:rsidRDefault="00057F5C">
      <w:pPr>
        <w:spacing w:before="160" w:after="0"/>
        <w:rPr>
          <w:sz w:val="22"/>
          <w:szCs w:val="21"/>
        </w:rPr>
      </w:pPr>
      <w:r w:rsidRPr="00543B9C">
        <w:rPr>
          <w:b/>
          <w:sz w:val="22"/>
          <w:szCs w:val="21"/>
        </w:rPr>
        <w:t>Dra. Carolina Garcia Soares Leães Rech</w:t>
      </w:r>
    </w:p>
    <w:p w:rsidR="000B5910" w:rsidRPr="00543B9C" w:rsidRDefault="00057F5C">
      <w:pPr>
        <w:spacing w:after="0"/>
        <w:rPr>
          <w:sz w:val="22"/>
          <w:szCs w:val="21"/>
        </w:rPr>
      </w:pPr>
      <w:r w:rsidRPr="00543B9C">
        <w:rPr>
          <w:sz w:val="22"/>
          <w:szCs w:val="21"/>
        </w:rPr>
        <w:t>Presidente da SBEM-RS – Gestão 2025-2026</w:t>
      </w:r>
    </w:p>
    <w:p w:rsidR="000B5910" w:rsidRDefault="000B5910">
      <w:pPr>
        <w:sectPr w:rsidR="000B5910">
          <w:pgSz w:w="12240" w:h="15840"/>
          <w:pgMar w:top="1417" w:right="1417" w:bottom="1417" w:left="1417" w:header="680" w:footer="680" w:gutter="0"/>
          <w:cols w:space="720"/>
        </w:sectPr>
      </w:pPr>
    </w:p>
    <w:p w:rsidR="000B5910" w:rsidRDefault="00057F5C">
      <w:pPr>
        <w:spacing w:after="280"/>
        <w:jc w:val="center"/>
      </w:pPr>
      <w:r>
        <w:rPr>
          <w:b/>
          <w:color w:val="1A1A1A"/>
          <w:sz w:val="60"/>
        </w:rPr>
        <w:lastRenderedPageBreak/>
        <w:t>SUMÁRIO</w:t>
      </w:r>
    </w:p>
    <w:p w:rsidR="000B5910" w:rsidRPr="007020E5" w:rsidRDefault="00057F5C">
      <w:pPr>
        <w:spacing w:before="160" w:after="80"/>
        <w:rPr>
          <w:b/>
          <w:bCs/>
          <w:color w:val="1A1A1A"/>
          <w:sz w:val="22"/>
          <w:szCs w:val="24"/>
        </w:rPr>
      </w:pPr>
      <w:r w:rsidRPr="007020E5">
        <w:rPr>
          <w:b/>
          <w:color w:val="1A1A1A"/>
          <w:sz w:val="22"/>
        </w:rPr>
        <w:t>ADRENAL E HIPERTENSÃO</w:t>
      </w:r>
    </w:p>
    <w:p w:rsidR="000B5910" w:rsidRDefault="000B5910">
      <w:pPr>
        <w:spacing w:before="160" w:after="80"/>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Abordagem Cirúrgica em Rara Apresentação de Mielolipomas Adrenais Bilaterais</w:t>
      </w:r>
      <w:r w:rsidRPr="00543B9C">
        <w:rPr>
          <w:sz w:val="22"/>
          <w:szCs w:val="21"/>
        </w:rPr>
        <w:tab/>
      </w:r>
      <w:r w:rsidRPr="00543B9C">
        <w:rPr>
          <w:b/>
          <w:color w:val="1A1A1A"/>
          <w:sz w:val="22"/>
          <w:szCs w:val="21"/>
        </w:rPr>
        <w:t>13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Feocromocitoma em paciente jovem com sintoma principal de síncope</w:t>
      </w:r>
      <w:r w:rsidRPr="00543B9C">
        <w:rPr>
          <w:sz w:val="22"/>
          <w:szCs w:val="21"/>
        </w:rPr>
        <w:tab/>
      </w:r>
      <w:r w:rsidRPr="00543B9C">
        <w:rPr>
          <w:b/>
          <w:color w:val="1A1A1A"/>
          <w:sz w:val="22"/>
          <w:szCs w:val="21"/>
        </w:rPr>
        <w:t>14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Hiperaldosteronismo primário e carcinoma diferenciado de tireóide: um relato de caso e revisão da literatura</w:t>
      </w:r>
      <w:r w:rsidRPr="00543B9C">
        <w:rPr>
          <w:sz w:val="22"/>
          <w:szCs w:val="21"/>
        </w:rPr>
        <w:tab/>
      </w:r>
      <w:r w:rsidRPr="00543B9C">
        <w:rPr>
          <w:b/>
          <w:color w:val="1A1A1A"/>
          <w:sz w:val="22"/>
          <w:szCs w:val="21"/>
        </w:rPr>
        <w:t>15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Feocromocitoma como incidentaloma de adrenal em paciente com cardiopatia grave: um relato de caso e revisão da literatura</w:t>
      </w:r>
      <w:r w:rsidRPr="00543B9C">
        <w:rPr>
          <w:sz w:val="22"/>
          <w:szCs w:val="21"/>
        </w:rPr>
        <w:tab/>
      </w:r>
      <w:r w:rsidRPr="00543B9C">
        <w:rPr>
          <w:b/>
          <w:color w:val="1A1A1A"/>
          <w:sz w:val="22"/>
          <w:szCs w:val="21"/>
        </w:rPr>
        <w:t>16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Prevalência de doenças metabólicas relacionadas ao hipercortisolismo subclínico em pacientes com incidentaloma adrenal: uma revisão sistemática</w:t>
      </w:r>
      <w:r w:rsidRPr="00543B9C">
        <w:rPr>
          <w:sz w:val="22"/>
          <w:szCs w:val="21"/>
        </w:rPr>
        <w:tab/>
      </w:r>
      <w:r w:rsidRPr="00543B9C">
        <w:rPr>
          <w:b/>
          <w:color w:val="1A1A1A"/>
          <w:sz w:val="22"/>
          <w:szCs w:val="21"/>
        </w:rPr>
        <w:t>17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Adrenalectomia Bilateral na Síndrome de Cushing por ACTH Ectópico: Série de Cinco Casos e Revisão da Literatura</w:t>
      </w:r>
      <w:r w:rsidRPr="00543B9C">
        <w:rPr>
          <w:sz w:val="22"/>
          <w:szCs w:val="21"/>
        </w:rPr>
        <w:tab/>
      </w:r>
      <w:r w:rsidRPr="00543B9C">
        <w:rPr>
          <w:b/>
          <w:color w:val="1A1A1A"/>
          <w:sz w:val="22"/>
          <w:szCs w:val="21"/>
        </w:rPr>
        <w:t>18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Hipercortisolismo autônomo leve e risco cardiometabólico: devemos ampliar o rastreio?</w:t>
      </w:r>
      <w:r w:rsidRPr="00543B9C">
        <w:rPr>
          <w:sz w:val="22"/>
          <w:szCs w:val="21"/>
        </w:rPr>
        <w:tab/>
      </w:r>
      <w:r w:rsidRPr="00543B9C">
        <w:rPr>
          <w:b/>
          <w:color w:val="1A1A1A"/>
          <w:sz w:val="22"/>
          <w:szCs w:val="21"/>
        </w:rPr>
        <w:t>19</w:t>
      </w:r>
    </w:p>
    <w:p w:rsidR="000B5910" w:rsidRDefault="000B5910">
      <w:pPr>
        <w:spacing w:before="160" w:after="80"/>
      </w:pPr>
    </w:p>
    <w:p w:rsidR="000B5910" w:rsidRPr="007020E5" w:rsidRDefault="00057F5C">
      <w:pPr>
        <w:spacing w:before="160" w:after="80"/>
        <w:rPr>
          <w:b/>
          <w:bCs/>
          <w:color w:val="1A1A1A"/>
          <w:sz w:val="22"/>
          <w:szCs w:val="24"/>
        </w:rPr>
      </w:pPr>
      <w:r w:rsidRPr="007020E5">
        <w:rPr>
          <w:b/>
          <w:color w:val="1A1A1A"/>
          <w:sz w:val="22"/>
        </w:rPr>
        <w:t>DIABETES MELLITUS</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Prevalência de neuropatia diabética e fatores associados em ambulatório de endocrinologia: um estudo observacional transversal</w:t>
      </w:r>
      <w:r w:rsidRPr="00543B9C">
        <w:rPr>
          <w:rFonts w:cs="Arial"/>
          <w:sz w:val="22"/>
        </w:rPr>
        <w:tab/>
      </w:r>
      <w:r w:rsidRPr="00543B9C">
        <w:rPr>
          <w:rFonts w:cs="Arial"/>
          <w:b/>
          <w:color w:val="1A1A1A"/>
          <w:sz w:val="22"/>
        </w:rPr>
        <w:t>20</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Efeito dos agonistas do GLP-1 no risco cardiovascular em pacientes com diabetes mellitus tipo 2: revisão sistemática e meta-análise</w:t>
      </w:r>
      <w:r w:rsidRPr="00543B9C">
        <w:rPr>
          <w:rFonts w:cs="Arial"/>
          <w:sz w:val="22"/>
        </w:rPr>
        <w:tab/>
      </w:r>
      <w:r w:rsidRPr="00543B9C">
        <w:rPr>
          <w:rFonts w:cs="Arial"/>
          <w:b/>
          <w:color w:val="1A1A1A"/>
          <w:sz w:val="22"/>
        </w:rPr>
        <w:t>21</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Perfil epidemiológico da mortalidade por diabetes mellitus insulino-dependente em Caxias do Sul (RS): estudo ecológico (2021-2025)</w:t>
      </w:r>
      <w:r w:rsidRPr="00543B9C">
        <w:rPr>
          <w:rFonts w:cs="Arial"/>
          <w:sz w:val="22"/>
        </w:rPr>
        <w:tab/>
      </w:r>
      <w:r w:rsidRPr="00543B9C">
        <w:rPr>
          <w:rFonts w:cs="Arial"/>
          <w:b/>
          <w:color w:val="1A1A1A"/>
          <w:sz w:val="22"/>
        </w:rPr>
        <w:t>22</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Efeitos do Exercício de Força no Controle Glicêmico em Pacientes com Diabetes Mellitus Gestacional: Revisão sistemática e meta-análise</w:t>
      </w:r>
      <w:r w:rsidRPr="00543B9C">
        <w:rPr>
          <w:rFonts w:cs="Arial"/>
          <w:sz w:val="22"/>
        </w:rPr>
        <w:tab/>
      </w:r>
      <w:r w:rsidRPr="00543B9C">
        <w:rPr>
          <w:rFonts w:cs="Arial"/>
          <w:b/>
          <w:color w:val="1A1A1A"/>
          <w:sz w:val="22"/>
        </w:rPr>
        <w:t>23</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 xml:space="preserve">Comparação Entre Escalas De Triagem </w:t>
      </w:r>
      <w:proofErr w:type="gramStart"/>
      <w:r w:rsidRPr="00543B9C">
        <w:rPr>
          <w:rFonts w:cs="Arial"/>
          <w:color w:val="1A1A1A"/>
          <w:sz w:val="22"/>
        </w:rPr>
        <w:t>Da</w:t>
      </w:r>
      <w:proofErr w:type="gramEnd"/>
      <w:r w:rsidRPr="00543B9C">
        <w:rPr>
          <w:rFonts w:cs="Arial"/>
          <w:color w:val="1A1A1A"/>
          <w:sz w:val="22"/>
        </w:rPr>
        <w:t xml:space="preserve"> Síndrome Da Apneia Do Sono Em Pacientes Com DM2</w:t>
      </w:r>
      <w:r w:rsidRPr="00543B9C">
        <w:rPr>
          <w:rFonts w:cs="Arial"/>
          <w:sz w:val="22"/>
        </w:rPr>
        <w:tab/>
      </w:r>
      <w:r w:rsidRPr="00543B9C">
        <w:rPr>
          <w:rFonts w:cs="Arial"/>
          <w:b/>
          <w:color w:val="1A1A1A"/>
          <w:sz w:val="22"/>
        </w:rPr>
        <w:t>24</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 xml:space="preserve">Peso Ao Nascer </w:t>
      </w:r>
      <w:proofErr w:type="gramStart"/>
      <w:r w:rsidRPr="00543B9C">
        <w:rPr>
          <w:rFonts w:cs="Arial"/>
          <w:color w:val="1A1A1A"/>
          <w:sz w:val="22"/>
        </w:rPr>
        <w:t>Da</w:t>
      </w:r>
      <w:proofErr w:type="gramEnd"/>
      <w:r w:rsidRPr="00543B9C">
        <w:rPr>
          <w:rFonts w:cs="Arial"/>
          <w:color w:val="1A1A1A"/>
          <w:sz w:val="22"/>
        </w:rPr>
        <w:t xml:space="preserve"> Mulher E Diabetes Mellitus Gestacional Na Vida Adulta: Evidências Das Coortes De Nascimento De 1982 E 1993 De Pelotas, Rio Grande Do Sul</w:t>
      </w:r>
      <w:r w:rsidRPr="00543B9C">
        <w:rPr>
          <w:rFonts w:cs="Arial"/>
          <w:sz w:val="22"/>
        </w:rPr>
        <w:tab/>
      </w:r>
      <w:r w:rsidRPr="00543B9C">
        <w:rPr>
          <w:rFonts w:cs="Arial"/>
          <w:b/>
          <w:color w:val="1A1A1A"/>
          <w:sz w:val="22"/>
        </w:rPr>
        <w:t>25</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Eficácia e Segurança no Uso Adjuvante de Análogos do GLP-1 em pacientes com Diabetes Mellitus Tipo 1: Revisão Sistemática com Metanálise</w:t>
      </w:r>
      <w:r w:rsidRPr="00543B9C">
        <w:rPr>
          <w:rFonts w:cs="Arial"/>
          <w:sz w:val="22"/>
        </w:rPr>
        <w:tab/>
      </w:r>
      <w:r w:rsidRPr="00543B9C">
        <w:rPr>
          <w:rFonts w:cs="Arial"/>
          <w:b/>
          <w:color w:val="1A1A1A"/>
          <w:sz w:val="22"/>
        </w:rPr>
        <w:t>26</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Desfechos cardiovasculares em adultos com diabetes mellitus tipo 2 tratados com Tirzepatida</w:t>
      </w:r>
      <w:r w:rsidRPr="00543B9C">
        <w:rPr>
          <w:rFonts w:cs="Arial"/>
          <w:sz w:val="22"/>
        </w:rPr>
        <w:tab/>
      </w:r>
      <w:r w:rsidRPr="00543B9C">
        <w:rPr>
          <w:rFonts w:cs="Arial"/>
          <w:b/>
          <w:color w:val="1A1A1A"/>
          <w:sz w:val="22"/>
        </w:rPr>
        <w:t>27</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Uso de Semaglutida Subcutânea para Manejo de Diabetes Associado a Lipodistrofia Parcial Familiar (LPF) - Relato de Caso</w:t>
      </w:r>
      <w:r w:rsidRPr="00543B9C">
        <w:rPr>
          <w:rFonts w:cs="Arial"/>
          <w:sz w:val="22"/>
        </w:rPr>
        <w:tab/>
      </w:r>
      <w:r w:rsidRPr="00543B9C">
        <w:rPr>
          <w:rFonts w:cs="Arial"/>
          <w:b/>
          <w:color w:val="1A1A1A"/>
          <w:sz w:val="22"/>
        </w:rPr>
        <w:t>28</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Tendência Temporal De Internações E Mortalidade Por Diabetes Mellitus No Sul Do Brasil (2020-2025)</w:t>
      </w:r>
      <w:r w:rsidRPr="00543B9C">
        <w:rPr>
          <w:rFonts w:cs="Arial"/>
          <w:sz w:val="22"/>
        </w:rPr>
        <w:tab/>
      </w:r>
      <w:r w:rsidRPr="00543B9C">
        <w:rPr>
          <w:rFonts w:cs="Arial"/>
          <w:b/>
          <w:color w:val="1A1A1A"/>
          <w:sz w:val="22"/>
        </w:rPr>
        <w:t>29</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lastRenderedPageBreak/>
        <w:t>Efeito do Bevacizumabe na Acuidade Visual em Pacientes com Edema Macular Diabética</w:t>
      </w:r>
      <w:r w:rsidRPr="00543B9C">
        <w:rPr>
          <w:rFonts w:cs="Arial"/>
          <w:sz w:val="22"/>
        </w:rPr>
        <w:tab/>
      </w:r>
      <w:r w:rsidRPr="00543B9C">
        <w:rPr>
          <w:rFonts w:cs="Arial"/>
          <w:b/>
          <w:color w:val="1A1A1A"/>
          <w:sz w:val="22"/>
        </w:rPr>
        <w:t>30</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Monitorização contínua da glicose no diabetes mellitus gestacional: uma revisão sistemática</w:t>
      </w:r>
      <w:r w:rsidRPr="00543B9C">
        <w:rPr>
          <w:rFonts w:cs="Arial"/>
          <w:sz w:val="22"/>
        </w:rPr>
        <w:tab/>
      </w:r>
      <w:r w:rsidRPr="00543B9C">
        <w:rPr>
          <w:rFonts w:cs="Arial"/>
          <w:b/>
          <w:color w:val="1A1A1A"/>
          <w:sz w:val="22"/>
        </w:rPr>
        <w:t>31</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Mecanismos fisiopatológicos da remissão do diabetes mellitus tipo 2 induzida por agonistas duplos de incretinas: implicações metabólicas e sustentação clínica</w:t>
      </w:r>
      <w:r w:rsidRPr="00543B9C">
        <w:rPr>
          <w:rFonts w:cs="Arial"/>
          <w:sz w:val="22"/>
        </w:rPr>
        <w:tab/>
      </w:r>
      <w:r w:rsidRPr="00543B9C">
        <w:rPr>
          <w:rFonts w:cs="Arial"/>
          <w:b/>
          <w:color w:val="1A1A1A"/>
          <w:sz w:val="22"/>
        </w:rPr>
        <w:t>32</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Diabetes mellitus pós-transplante renal e evolução de parâmetros clínico-metabólicos: estudo retrospectivo</w:t>
      </w:r>
      <w:r w:rsidRPr="00543B9C">
        <w:rPr>
          <w:rFonts w:cs="Arial"/>
          <w:sz w:val="22"/>
        </w:rPr>
        <w:tab/>
      </w:r>
      <w:r w:rsidRPr="00543B9C">
        <w:rPr>
          <w:rFonts w:cs="Arial"/>
          <w:b/>
          <w:color w:val="1A1A1A"/>
          <w:sz w:val="22"/>
        </w:rPr>
        <w:t>33</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Machine learning na predição de hipoglicemia com monitorização contínua de glicose: avanços e limitações clínicas.</w:t>
      </w:r>
      <w:r w:rsidRPr="00543B9C">
        <w:rPr>
          <w:rFonts w:cs="Arial"/>
          <w:sz w:val="22"/>
        </w:rPr>
        <w:tab/>
      </w:r>
      <w:r w:rsidRPr="00543B9C">
        <w:rPr>
          <w:rFonts w:cs="Arial"/>
          <w:b/>
          <w:color w:val="1A1A1A"/>
          <w:sz w:val="22"/>
        </w:rPr>
        <w:t>34</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Cetoacidose diabética associada à imunoterapia em carcinoma renal: manifestação endócrina grave durante tratamento oncológico</w:t>
      </w:r>
      <w:r w:rsidRPr="00543B9C">
        <w:rPr>
          <w:rFonts w:cs="Arial"/>
          <w:sz w:val="22"/>
        </w:rPr>
        <w:tab/>
      </w:r>
      <w:r w:rsidRPr="00543B9C">
        <w:rPr>
          <w:rFonts w:cs="Arial"/>
          <w:b/>
          <w:color w:val="1A1A1A"/>
          <w:sz w:val="22"/>
        </w:rPr>
        <w:t>35</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Internações Por Pé Diabético (2008-2025)</w:t>
      </w:r>
      <w:r w:rsidRPr="00543B9C">
        <w:rPr>
          <w:rFonts w:cs="Arial"/>
          <w:sz w:val="22"/>
        </w:rPr>
        <w:tab/>
      </w:r>
      <w:r w:rsidRPr="00543B9C">
        <w:rPr>
          <w:rFonts w:cs="Arial"/>
          <w:b/>
          <w:color w:val="1A1A1A"/>
          <w:sz w:val="22"/>
        </w:rPr>
        <w:t>36</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Armadilha Diagnóstica no Diagnóstico de Diabetes Mellitus: Relato de Caso</w:t>
      </w:r>
      <w:r w:rsidRPr="00543B9C">
        <w:rPr>
          <w:rFonts w:cs="Arial"/>
          <w:sz w:val="22"/>
        </w:rPr>
        <w:tab/>
      </w:r>
      <w:r w:rsidRPr="00543B9C">
        <w:rPr>
          <w:rFonts w:cs="Arial"/>
          <w:b/>
          <w:color w:val="1A1A1A"/>
          <w:sz w:val="22"/>
        </w:rPr>
        <w:t>37</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Perfil Epidemiológico das Hospitalizações e Mortalidade por Diabetes Mellitus em Pediatria: Uma Análise Comparativa na Região Sul (2021-2024)</w:t>
      </w:r>
      <w:r w:rsidRPr="00543B9C">
        <w:rPr>
          <w:rFonts w:cs="Arial"/>
          <w:sz w:val="22"/>
        </w:rPr>
        <w:tab/>
      </w:r>
      <w:r w:rsidRPr="00543B9C">
        <w:rPr>
          <w:rFonts w:cs="Arial"/>
          <w:b/>
          <w:color w:val="1A1A1A"/>
          <w:sz w:val="22"/>
        </w:rPr>
        <w:t>38</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Progressão para diabetes tipo 2 após diabetes gestacional: revisão sistemática sobre os fatores de risco e oportunidades de prevenção</w:t>
      </w:r>
      <w:r w:rsidRPr="00543B9C">
        <w:rPr>
          <w:rFonts w:cs="Arial"/>
          <w:sz w:val="22"/>
        </w:rPr>
        <w:tab/>
      </w:r>
      <w:r w:rsidRPr="00543B9C">
        <w:rPr>
          <w:rFonts w:cs="Arial"/>
          <w:b/>
          <w:color w:val="1A1A1A"/>
          <w:sz w:val="22"/>
        </w:rPr>
        <w:t>39</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Diabetes Mellitus Do Tipo 1 Com Fase De Lua Mel Prolongada Não Insulino-Dependente E Uso De Idpp-4 Para Controle Glicêmico</w:t>
      </w:r>
      <w:r w:rsidRPr="00543B9C">
        <w:rPr>
          <w:rFonts w:cs="Arial"/>
          <w:sz w:val="22"/>
        </w:rPr>
        <w:tab/>
      </w:r>
      <w:r w:rsidRPr="00543B9C">
        <w:rPr>
          <w:rFonts w:cs="Arial"/>
          <w:b/>
          <w:color w:val="1A1A1A"/>
          <w:sz w:val="22"/>
        </w:rPr>
        <w:t>40</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Estimativa da Diferença Mínima Clinicamente Relevante do Self-Care Inventory-Revised em Pacientes com Diabetes Tipo 2 no Brasil</w:t>
      </w:r>
      <w:r w:rsidRPr="00543B9C">
        <w:rPr>
          <w:rFonts w:cs="Arial"/>
          <w:sz w:val="22"/>
        </w:rPr>
        <w:tab/>
      </w:r>
      <w:r w:rsidRPr="00543B9C">
        <w:rPr>
          <w:rFonts w:cs="Arial"/>
          <w:b/>
          <w:color w:val="1A1A1A"/>
          <w:sz w:val="22"/>
        </w:rPr>
        <w:t>41</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Preditores Metabólicos, Vasculares e Inflamatórios da Progressão da Retinopatia Diabética no Diabetes Tipo 2</w:t>
      </w:r>
      <w:r w:rsidRPr="00543B9C">
        <w:rPr>
          <w:rFonts w:cs="Arial"/>
          <w:sz w:val="22"/>
        </w:rPr>
        <w:tab/>
      </w:r>
      <w:r w:rsidRPr="00543B9C">
        <w:rPr>
          <w:rFonts w:cs="Arial"/>
          <w:b/>
          <w:color w:val="1A1A1A"/>
          <w:sz w:val="22"/>
        </w:rPr>
        <w:t>42</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Incidência de Pancreatite na Era dos Novos Antidiabéticos e Antiobesidade: Um Levantamento de Dados de 2020 a 2025</w:t>
      </w:r>
      <w:r w:rsidRPr="00543B9C">
        <w:rPr>
          <w:rFonts w:cs="Arial"/>
          <w:sz w:val="22"/>
        </w:rPr>
        <w:tab/>
      </w:r>
      <w:r w:rsidRPr="00543B9C">
        <w:rPr>
          <w:rFonts w:cs="Arial"/>
          <w:b/>
          <w:color w:val="1A1A1A"/>
          <w:sz w:val="22"/>
        </w:rPr>
        <w:t>43</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Incidência, gravidade e descontinuação do tratamento por eventos adversos gastrointestinais associados aos análogos do receptor de GLP-1 no tratamento do diabetes mellitus tipo 2: revisão sistemática.</w:t>
      </w:r>
      <w:r w:rsidRPr="00543B9C">
        <w:rPr>
          <w:rFonts w:cs="Arial"/>
          <w:sz w:val="22"/>
        </w:rPr>
        <w:tab/>
      </w:r>
      <w:r w:rsidRPr="00543B9C">
        <w:rPr>
          <w:rFonts w:cs="Arial"/>
          <w:b/>
          <w:color w:val="1A1A1A"/>
          <w:sz w:val="22"/>
        </w:rPr>
        <w:t>44</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Entre percepção e evidência: avaliação de declínio cognitivo em pacientes com diabetes mellitus tipo 2 em um hospital terciário referência no norte do Rio Grande do Sul</w:t>
      </w:r>
      <w:r w:rsidRPr="00543B9C">
        <w:rPr>
          <w:rFonts w:cs="Arial"/>
          <w:sz w:val="22"/>
        </w:rPr>
        <w:tab/>
      </w:r>
      <w:r w:rsidRPr="00543B9C">
        <w:rPr>
          <w:rFonts w:cs="Arial"/>
          <w:b/>
          <w:color w:val="1A1A1A"/>
          <w:sz w:val="22"/>
        </w:rPr>
        <w:t>45</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Testes de triagem cognitiva em pacientes com diabetes tipo 2: quão concordantes são?</w:t>
      </w:r>
      <w:r w:rsidRPr="00543B9C">
        <w:rPr>
          <w:rFonts w:cs="Arial"/>
          <w:sz w:val="22"/>
        </w:rPr>
        <w:tab/>
      </w:r>
      <w:r w:rsidRPr="00543B9C">
        <w:rPr>
          <w:rFonts w:cs="Arial"/>
          <w:b/>
          <w:color w:val="1A1A1A"/>
          <w:sz w:val="22"/>
        </w:rPr>
        <w:t>46</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Elaboração e implementação de Guia de Cuidado para pessoas com hipertensão e diabetes mellitus tipo 2 para equipes inter profissionais de atenção primária à saude.</w:t>
      </w:r>
      <w:r w:rsidRPr="00543B9C">
        <w:rPr>
          <w:rFonts w:cs="Arial"/>
          <w:sz w:val="22"/>
        </w:rPr>
        <w:tab/>
      </w:r>
      <w:r w:rsidRPr="00543B9C">
        <w:rPr>
          <w:rFonts w:cs="Arial"/>
          <w:b/>
          <w:color w:val="1A1A1A"/>
          <w:sz w:val="22"/>
        </w:rPr>
        <w:t>47</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O impacto dos eventos climáticos extremos; como as enchentes de 2024 afetaram os pacientes com diabetes de um hospital terciário.</w:t>
      </w:r>
      <w:r w:rsidRPr="00543B9C">
        <w:rPr>
          <w:rFonts w:cs="Arial"/>
          <w:sz w:val="22"/>
        </w:rPr>
        <w:tab/>
      </w:r>
      <w:r w:rsidRPr="00543B9C">
        <w:rPr>
          <w:rFonts w:cs="Arial"/>
          <w:b/>
          <w:color w:val="1A1A1A"/>
          <w:sz w:val="22"/>
        </w:rPr>
        <w:t>48</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Efeito da Educação Alimentar e Nutricional em grupo associada ao aconselhamento nutricional individual na qualidade da dieta de indivíduos com Diabetes Mellitus tipo 2: Ensaio Clínico Randomizado</w:t>
      </w:r>
      <w:r w:rsidRPr="00543B9C">
        <w:rPr>
          <w:rFonts w:cs="Arial"/>
          <w:sz w:val="22"/>
        </w:rPr>
        <w:tab/>
      </w:r>
      <w:r w:rsidRPr="00543B9C">
        <w:rPr>
          <w:rFonts w:cs="Arial"/>
          <w:b/>
          <w:color w:val="1A1A1A"/>
          <w:sz w:val="22"/>
        </w:rPr>
        <w:t>49</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Efeitos e eficácia do Transplante de Microbiota Fecal no Diabetes Tipo 1: uma revisão sistemática</w:t>
      </w:r>
      <w:r w:rsidRPr="00543B9C">
        <w:rPr>
          <w:rFonts w:cs="Arial"/>
          <w:sz w:val="22"/>
        </w:rPr>
        <w:tab/>
      </w:r>
      <w:r w:rsidRPr="00543B9C">
        <w:rPr>
          <w:rFonts w:cs="Arial"/>
          <w:b/>
          <w:color w:val="1A1A1A"/>
          <w:sz w:val="22"/>
        </w:rPr>
        <w:t>50</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lastRenderedPageBreak/>
        <w:t>Proteção cardiorrenal no diabetes mellitus tipo 2 para além do controle glicêmico: uma revisão sistemática sobre inibidores do SGLT2 e agonistas do GLP-1</w:t>
      </w:r>
      <w:r w:rsidRPr="00543B9C">
        <w:rPr>
          <w:rFonts w:cs="Arial"/>
          <w:sz w:val="22"/>
        </w:rPr>
        <w:tab/>
      </w:r>
      <w:r w:rsidRPr="00543B9C">
        <w:rPr>
          <w:rFonts w:cs="Arial"/>
          <w:b/>
          <w:color w:val="1A1A1A"/>
          <w:sz w:val="22"/>
        </w:rPr>
        <w:t>51</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Efetividade de intervenções nutricionais e/ou de atividade física na reversão a normoglicemia em adultos e idosos com pré-diabetes: overview de revisões sistemáticas</w:t>
      </w:r>
      <w:r w:rsidRPr="00543B9C">
        <w:rPr>
          <w:rFonts w:cs="Arial"/>
          <w:sz w:val="22"/>
        </w:rPr>
        <w:tab/>
      </w:r>
      <w:r w:rsidRPr="00543B9C">
        <w:rPr>
          <w:rFonts w:cs="Arial"/>
          <w:b/>
          <w:color w:val="1A1A1A"/>
          <w:sz w:val="22"/>
        </w:rPr>
        <w:t>52</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Impacto dos agonistas do receptor GLP-1 na redução de eventos cardiovasculares em pacientes com diabetes mellitus tipo 2: revisão sistemática de ensaios clínicos randomizados</w:t>
      </w:r>
      <w:r w:rsidRPr="00543B9C">
        <w:rPr>
          <w:rFonts w:cs="Arial"/>
          <w:sz w:val="22"/>
        </w:rPr>
        <w:tab/>
      </w:r>
      <w:r w:rsidRPr="00543B9C">
        <w:rPr>
          <w:rFonts w:cs="Arial"/>
          <w:b/>
          <w:color w:val="1A1A1A"/>
          <w:sz w:val="22"/>
        </w:rPr>
        <w:t>53</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 xml:space="preserve">O Paradoxo do Diabetes no Sul do Brasil (2015-2024): Transição Terapêutica, Redução de Internações e </w:t>
      </w:r>
      <w:proofErr w:type="gramStart"/>
      <w:r w:rsidRPr="00543B9C">
        <w:rPr>
          <w:rFonts w:cs="Arial"/>
          <w:color w:val="1A1A1A"/>
          <w:sz w:val="22"/>
        </w:rPr>
        <w:t>a</w:t>
      </w:r>
      <w:proofErr w:type="gramEnd"/>
      <w:r w:rsidRPr="00543B9C">
        <w:rPr>
          <w:rFonts w:cs="Arial"/>
          <w:color w:val="1A1A1A"/>
          <w:sz w:val="22"/>
        </w:rPr>
        <w:t xml:space="preserve"> Assimetria de Mortalidade no SUS</w:t>
      </w:r>
      <w:r w:rsidRPr="00543B9C">
        <w:rPr>
          <w:rFonts w:cs="Arial"/>
          <w:sz w:val="22"/>
        </w:rPr>
        <w:tab/>
      </w:r>
      <w:r w:rsidRPr="00543B9C">
        <w:rPr>
          <w:rFonts w:cs="Arial"/>
          <w:b/>
          <w:color w:val="1A1A1A"/>
          <w:sz w:val="22"/>
        </w:rPr>
        <w:t>54</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Privação de sono e resistência insulínica: papel do eixo hipotálamo-hipófise-adrenal.</w:t>
      </w:r>
      <w:r w:rsidRPr="00543B9C">
        <w:rPr>
          <w:rFonts w:cs="Arial"/>
          <w:sz w:val="22"/>
        </w:rPr>
        <w:tab/>
      </w:r>
      <w:r w:rsidRPr="00543B9C">
        <w:rPr>
          <w:rFonts w:cs="Arial"/>
          <w:b/>
          <w:color w:val="1A1A1A"/>
          <w:sz w:val="22"/>
        </w:rPr>
        <w:t>55</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Gordura corporal e gordura truncal estão associadas ao maior risco de progressão da doença renal crônica em pacientes com diabetes tipo 2: um estudo de coorte prospectivo</w:t>
      </w:r>
      <w:r w:rsidRPr="00543B9C">
        <w:rPr>
          <w:rFonts w:cs="Arial"/>
          <w:sz w:val="22"/>
        </w:rPr>
        <w:tab/>
      </w:r>
      <w:r w:rsidRPr="00543B9C">
        <w:rPr>
          <w:rFonts w:cs="Arial"/>
          <w:b/>
          <w:color w:val="1A1A1A"/>
          <w:sz w:val="22"/>
        </w:rPr>
        <w:t>56</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 xml:space="preserve">Equações usadas para estimar a </w:t>
      </w:r>
      <w:proofErr w:type="gramStart"/>
      <w:r w:rsidRPr="00543B9C">
        <w:rPr>
          <w:rFonts w:cs="Arial"/>
          <w:color w:val="1A1A1A"/>
          <w:sz w:val="22"/>
        </w:rPr>
        <w:t>taxa</w:t>
      </w:r>
      <w:proofErr w:type="gramEnd"/>
      <w:r w:rsidRPr="00543B9C">
        <w:rPr>
          <w:rFonts w:cs="Arial"/>
          <w:color w:val="1A1A1A"/>
          <w:sz w:val="22"/>
        </w:rPr>
        <w:t xml:space="preserve"> de filtração glomerular: influência no diagnóstico e manejo da doença renal do diabetes</w:t>
      </w:r>
      <w:r w:rsidRPr="00543B9C">
        <w:rPr>
          <w:rFonts w:cs="Arial"/>
          <w:sz w:val="22"/>
        </w:rPr>
        <w:tab/>
      </w:r>
      <w:r w:rsidRPr="00543B9C">
        <w:rPr>
          <w:rFonts w:cs="Arial"/>
          <w:b/>
          <w:color w:val="1A1A1A"/>
          <w:sz w:val="22"/>
        </w:rPr>
        <w:t>57</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Educação permanente para médicos sobre tratamento medicamentoso de pessoas com diabetes tipo 2: uma estratégia reprodutível e baseada em evidências para qualificação do manejo na Atenção Primária à Saúde</w:t>
      </w:r>
      <w:r w:rsidRPr="00543B9C">
        <w:rPr>
          <w:rFonts w:cs="Arial"/>
          <w:sz w:val="22"/>
        </w:rPr>
        <w:tab/>
      </w:r>
      <w:r w:rsidRPr="00543B9C">
        <w:rPr>
          <w:rFonts w:cs="Arial"/>
          <w:b/>
          <w:color w:val="1A1A1A"/>
          <w:sz w:val="22"/>
        </w:rPr>
        <w:t>58</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Perfil Epidemiológico e Caráter das Internações por Amputação de Membros Inferiores em Diabéticos no Rio Grande do Sul (2023)</w:t>
      </w:r>
      <w:r w:rsidRPr="00543B9C">
        <w:rPr>
          <w:rFonts w:cs="Arial"/>
          <w:sz w:val="22"/>
        </w:rPr>
        <w:tab/>
      </w:r>
      <w:r w:rsidRPr="00543B9C">
        <w:rPr>
          <w:rFonts w:cs="Arial"/>
          <w:b/>
          <w:color w:val="1A1A1A"/>
          <w:sz w:val="22"/>
        </w:rPr>
        <w:t>59</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Abordagem interprofissional intensiva na Atenção Primária à Saúde para o tratamento do diabetes tipo 2 em pessoa cronicamente descompensada e com complicações múltiplas: um relato de caso.</w:t>
      </w:r>
      <w:r w:rsidRPr="00543B9C">
        <w:rPr>
          <w:rFonts w:cs="Arial"/>
          <w:sz w:val="22"/>
        </w:rPr>
        <w:tab/>
      </w:r>
      <w:r w:rsidRPr="00543B9C">
        <w:rPr>
          <w:rFonts w:cs="Arial"/>
          <w:b/>
          <w:color w:val="1A1A1A"/>
          <w:sz w:val="22"/>
        </w:rPr>
        <w:t>60</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Complicações do diabetes mellitus como causa de internações no SUS: análise de morbidade, mortalidade e custos no Sul do Brasil (2010-2024)</w:t>
      </w:r>
      <w:r w:rsidRPr="00543B9C">
        <w:rPr>
          <w:rFonts w:cs="Arial"/>
          <w:sz w:val="22"/>
        </w:rPr>
        <w:tab/>
      </w:r>
      <w:r w:rsidRPr="00543B9C">
        <w:rPr>
          <w:rFonts w:cs="Arial"/>
          <w:b/>
          <w:color w:val="1A1A1A"/>
          <w:sz w:val="22"/>
        </w:rPr>
        <w:t>61</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Efeito da Dieta Plant-Based vs. Dieta Padrão Saudável na Sensibilidade à Insulina e Função de Célula β no Diabetes Mellitus Tipo 2: Subestudo de um Ensaio Clínico Randomizado</w:t>
      </w:r>
      <w:r w:rsidRPr="00543B9C">
        <w:rPr>
          <w:rFonts w:cs="Arial"/>
          <w:sz w:val="22"/>
        </w:rPr>
        <w:tab/>
      </w:r>
      <w:r w:rsidRPr="00543B9C">
        <w:rPr>
          <w:rFonts w:cs="Arial"/>
          <w:b/>
          <w:color w:val="1A1A1A"/>
          <w:sz w:val="22"/>
        </w:rPr>
        <w:t>62</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Tendência temporal das internações por Diabetes Mellitus em adultos jovens no Pará de 2010 a 2025</w:t>
      </w:r>
      <w:r w:rsidRPr="00543B9C">
        <w:rPr>
          <w:rFonts w:cs="Arial"/>
          <w:sz w:val="22"/>
        </w:rPr>
        <w:tab/>
      </w:r>
      <w:r w:rsidRPr="00543B9C">
        <w:rPr>
          <w:rFonts w:cs="Arial"/>
          <w:b/>
          <w:color w:val="1A1A1A"/>
          <w:sz w:val="22"/>
        </w:rPr>
        <w:t>63</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Preditores de Qualidade de Vida em Pacientes com Diabetes Mellitus no Sistema Único de Saúde: Estudo Transversal Multicêntrico</w:t>
      </w:r>
      <w:r w:rsidRPr="00543B9C">
        <w:rPr>
          <w:rFonts w:cs="Arial"/>
          <w:sz w:val="22"/>
        </w:rPr>
        <w:tab/>
      </w:r>
      <w:r w:rsidRPr="00543B9C">
        <w:rPr>
          <w:rFonts w:cs="Arial"/>
          <w:b/>
          <w:color w:val="1A1A1A"/>
          <w:sz w:val="22"/>
        </w:rPr>
        <w:t>64</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Consumo de alimentos ultraprocessados e monitorização contínua de glicose em indivíduos com diabetes mellitus tipo 2 e excesso de peso submetidos a uma dieta plant-based ou dieta saudável padrão: ensaio clínico randomizado paralelo</w:t>
      </w:r>
      <w:r w:rsidRPr="00543B9C">
        <w:rPr>
          <w:rFonts w:cs="Arial"/>
          <w:sz w:val="22"/>
        </w:rPr>
        <w:tab/>
      </w:r>
      <w:r w:rsidRPr="00543B9C">
        <w:rPr>
          <w:rFonts w:cs="Arial"/>
          <w:b/>
          <w:color w:val="1A1A1A"/>
          <w:sz w:val="22"/>
        </w:rPr>
        <w:t>65</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Discordância Clínico-Laboratorial no Diabetes Mellitus Tipo 2: Diagnóstico de Hemoglobinopatia Hereditária – Relato de Caso</w:t>
      </w:r>
      <w:r w:rsidRPr="00543B9C">
        <w:rPr>
          <w:rFonts w:cs="Arial"/>
          <w:sz w:val="22"/>
        </w:rPr>
        <w:tab/>
      </w:r>
      <w:r w:rsidRPr="00543B9C">
        <w:rPr>
          <w:rFonts w:cs="Arial"/>
          <w:b/>
          <w:color w:val="1A1A1A"/>
          <w:sz w:val="22"/>
        </w:rPr>
        <w:t>66</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Prevalência e Impacto Metabólico da Sarcopenia em Pacientes com Diabetes Mellitus Tipo 2: Revisão Sistemática</w:t>
      </w:r>
      <w:r w:rsidRPr="00543B9C">
        <w:rPr>
          <w:rFonts w:cs="Arial"/>
          <w:sz w:val="22"/>
        </w:rPr>
        <w:tab/>
      </w:r>
      <w:r w:rsidRPr="00543B9C">
        <w:rPr>
          <w:rFonts w:cs="Arial"/>
          <w:b/>
          <w:color w:val="1A1A1A"/>
          <w:sz w:val="22"/>
        </w:rPr>
        <w:t>67</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Discrepâncias entre dados assistenciais e registros no e-SUS: implicações para o cuidado de pacientes com Diabetes Mellitus</w:t>
      </w:r>
      <w:r w:rsidRPr="00543B9C">
        <w:rPr>
          <w:rFonts w:cs="Arial"/>
          <w:sz w:val="22"/>
        </w:rPr>
        <w:tab/>
      </w:r>
      <w:r w:rsidRPr="00543B9C">
        <w:rPr>
          <w:rFonts w:cs="Arial"/>
          <w:b/>
          <w:color w:val="1A1A1A"/>
          <w:sz w:val="22"/>
        </w:rPr>
        <w:t>68</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t>Reclassificação diagnóstica de diabetes em adulta jovem tratada como DM1 e posterior desinsulinização com controle metabólico.</w:t>
      </w:r>
      <w:r w:rsidRPr="00543B9C">
        <w:rPr>
          <w:rFonts w:cs="Arial"/>
          <w:sz w:val="22"/>
        </w:rPr>
        <w:tab/>
      </w:r>
      <w:r w:rsidRPr="00543B9C">
        <w:rPr>
          <w:rFonts w:cs="Arial"/>
          <w:b/>
          <w:color w:val="1A1A1A"/>
          <w:sz w:val="22"/>
        </w:rPr>
        <w:t>69</w:t>
      </w:r>
    </w:p>
    <w:p w:rsidR="000B5910" w:rsidRPr="00543B9C" w:rsidRDefault="00057F5C">
      <w:pPr>
        <w:tabs>
          <w:tab w:val="right" w:leader="dot" w:pos="9071"/>
        </w:tabs>
        <w:spacing w:after="60" w:line="252" w:lineRule="auto"/>
        <w:ind w:right="850"/>
        <w:rPr>
          <w:rFonts w:cs="Arial"/>
          <w:sz w:val="22"/>
        </w:rPr>
      </w:pPr>
      <w:r w:rsidRPr="00543B9C">
        <w:rPr>
          <w:rFonts w:cs="Arial"/>
          <w:color w:val="1A1A1A"/>
          <w:sz w:val="22"/>
        </w:rPr>
        <w:lastRenderedPageBreak/>
        <w:t>Retinopatia diabética como marcador de risco para mortalidade em pacientes com diabetes: evidências de uma coorte ambispectiva</w:t>
      </w:r>
      <w:r w:rsidRPr="00543B9C">
        <w:rPr>
          <w:rFonts w:cs="Arial"/>
          <w:sz w:val="22"/>
        </w:rPr>
        <w:tab/>
      </w:r>
      <w:r w:rsidRPr="00543B9C">
        <w:rPr>
          <w:rFonts w:cs="Arial"/>
          <w:b/>
          <w:color w:val="1A1A1A"/>
          <w:sz w:val="22"/>
        </w:rPr>
        <w:t>70</w:t>
      </w:r>
    </w:p>
    <w:p w:rsidR="000B5910" w:rsidRDefault="000B5910">
      <w:pPr>
        <w:spacing w:before="160" w:after="80"/>
      </w:pPr>
    </w:p>
    <w:p w:rsidR="000B5910" w:rsidRPr="007020E5" w:rsidRDefault="00057F5C">
      <w:pPr>
        <w:spacing w:before="160" w:after="80"/>
        <w:rPr>
          <w:b/>
          <w:bCs/>
          <w:color w:val="1A1A1A"/>
          <w:sz w:val="22"/>
        </w:rPr>
      </w:pPr>
      <w:r w:rsidRPr="007020E5">
        <w:rPr>
          <w:b/>
          <w:color w:val="1A1A1A"/>
          <w:sz w:val="22"/>
        </w:rPr>
        <w:t>DISLIPIDEMIA E ATEROSCLEROSE</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Série de casos de variantes de significado incerto em ABCA1: desafios na interpretação genética</w:t>
      </w:r>
      <w:r w:rsidRPr="00543B9C">
        <w:rPr>
          <w:sz w:val="22"/>
          <w:szCs w:val="21"/>
        </w:rPr>
        <w:tab/>
      </w:r>
      <w:r w:rsidRPr="00543B9C">
        <w:rPr>
          <w:b/>
          <w:color w:val="1A1A1A"/>
          <w:sz w:val="22"/>
          <w:szCs w:val="21"/>
        </w:rPr>
        <w:t>71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Inflamação residual na aterosclerose: novos alvos terapêuticos além da terapia hipolipemiante.</w:t>
      </w:r>
      <w:r w:rsidRPr="00543B9C">
        <w:rPr>
          <w:sz w:val="22"/>
          <w:szCs w:val="21"/>
        </w:rPr>
        <w:tab/>
      </w:r>
      <w:r w:rsidRPr="00543B9C">
        <w:rPr>
          <w:b/>
          <w:color w:val="1A1A1A"/>
          <w:sz w:val="22"/>
          <w:szCs w:val="21"/>
        </w:rPr>
        <w:t>72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Infarto agudo do miocárdio precoce e a carga da síndrome metabólica: tendência de internações em jovens no RS (2020–2025)</w:t>
      </w:r>
      <w:r w:rsidRPr="00543B9C">
        <w:rPr>
          <w:sz w:val="22"/>
          <w:szCs w:val="21"/>
        </w:rPr>
        <w:tab/>
      </w:r>
      <w:r w:rsidRPr="00543B9C">
        <w:rPr>
          <w:b/>
          <w:color w:val="1A1A1A"/>
          <w:sz w:val="22"/>
          <w:szCs w:val="21"/>
        </w:rPr>
        <w:t>73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Efeito sinérgico do diabetes e hipotireoidismo na progressão da aterosclerose: revisão sistemática da literatura</w:t>
      </w:r>
      <w:r w:rsidRPr="00543B9C">
        <w:rPr>
          <w:sz w:val="22"/>
          <w:szCs w:val="21"/>
        </w:rPr>
        <w:tab/>
      </w:r>
      <w:r w:rsidRPr="00543B9C">
        <w:rPr>
          <w:b/>
          <w:color w:val="1A1A1A"/>
          <w:sz w:val="22"/>
          <w:szCs w:val="21"/>
        </w:rPr>
        <w:t>74</w:t>
      </w:r>
    </w:p>
    <w:p w:rsidR="000B5910" w:rsidRPr="00543B9C" w:rsidRDefault="000B5910">
      <w:pPr>
        <w:spacing w:before="160" w:after="80"/>
        <w:rPr>
          <w:sz w:val="22"/>
          <w:szCs w:val="21"/>
        </w:rPr>
      </w:pPr>
    </w:p>
    <w:p w:rsidR="000B5910" w:rsidRDefault="000B5910">
      <w:pPr>
        <w:spacing w:before="160" w:after="80"/>
        <w:rPr>
          <w:b/>
          <w:bCs/>
          <w:color w:val="1A1A1A"/>
          <w:sz w:val="24"/>
          <w:szCs w:val="24"/>
        </w:rPr>
      </w:pPr>
    </w:p>
    <w:p w:rsidR="000B5910" w:rsidRDefault="000B5910">
      <w:pPr>
        <w:spacing w:before="160" w:after="80"/>
        <w:rPr>
          <w:b/>
          <w:bCs/>
          <w:color w:val="1A1A1A"/>
          <w:sz w:val="24"/>
          <w:szCs w:val="24"/>
        </w:rPr>
      </w:pPr>
    </w:p>
    <w:p w:rsidR="000B5910" w:rsidRPr="007020E5" w:rsidRDefault="00057F5C">
      <w:pPr>
        <w:spacing w:before="160" w:after="80"/>
        <w:rPr>
          <w:b/>
          <w:bCs/>
          <w:color w:val="1A1A1A"/>
          <w:sz w:val="22"/>
          <w:szCs w:val="24"/>
        </w:rPr>
      </w:pPr>
      <w:r w:rsidRPr="007020E5">
        <w:rPr>
          <w:b/>
          <w:color w:val="1A1A1A"/>
          <w:sz w:val="22"/>
        </w:rPr>
        <w:t>ENDOCRINOLOGIA BÁSICA</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rPr>
      </w:pPr>
      <w:r w:rsidRPr="00543B9C">
        <w:rPr>
          <w:color w:val="1A1A1A"/>
          <w:sz w:val="22"/>
        </w:rPr>
        <w:t>Associação entre cortisol salivar e qualidade do sono em indivíduos com disfunção temporomandibular: estudo transversal caso-controle</w:t>
      </w:r>
      <w:r w:rsidRPr="00543B9C">
        <w:rPr>
          <w:sz w:val="22"/>
        </w:rPr>
        <w:tab/>
      </w:r>
      <w:r w:rsidRPr="00543B9C">
        <w:rPr>
          <w:b/>
          <w:color w:val="1A1A1A"/>
          <w:sz w:val="22"/>
        </w:rPr>
        <w:t>75</w:t>
      </w:r>
    </w:p>
    <w:p w:rsidR="000B5910" w:rsidRPr="00543B9C" w:rsidRDefault="00057F5C">
      <w:pPr>
        <w:tabs>
          <w:tab w:val="right" w:leader="dot" w:pos="9071"/>
        </w:tabs>
        <w:spacing w:after="60" w:line="252" w:lineRule="auto"/>
        <w:ind w:right="850"/>
        <w:rPr>
          <w:sz w:val="22"/>
        </w:rPr>
      </w:pPr>
      <w:r w:rsidRPr="00543B9C">
        <w:rPr>
          <w:color w:val="1A1A1A"/>
          <w:sz w:val="22"/>
        </w:rPr>
        <w:t>Tirzepatida versus Semaglutida no tratamento da obesidade em adultos: uma revisão sistemática sobre eficácia e segurança</w:t>
      </w:r>
      <w:r w:rsidRPr="00543B9C">
        <w:rPr>
          <w:sz w:val="22"/>
        </w:rPr>
        <w:tab/>
      </w:r>
      <w:r w:rsidRPr="00543B9C">
        <w:rPr>
          <w:b/>
          <w:color w:val="1A1A1A"/>
          <w:sz w:val="22"/>
        </w:rPr>
        <w:t>76</w:t>
      </w:r>
    </w:p>
    <w:p w:rsidR="000B5910" w:rsidRPr="00543B9C" w:rsidRDefault="00057F5C">
      <w:pPr>
        <w:tabs>
          <w:tab w:val="right" w:leader="dot" w:pos="9071"/>
        </w:tabs>
        <w:spacing w:after="60" w:line="252" w:lineRule="auto"/>
        <w:ind w:right="850"/>
        <w:rPr>
          <w:sz w:val="22"/>
        </w:rPr>
      </w:pPr>
      <w:r w:rsidRPr="00543B9C">
        <w:rPr>
          <w:color w:val="1A1A1A"/>
          <w:sz w:val="22"/>
        </w:rPr>
        <w:t>Perfil epidemiológico das internações hospitalares por tireotoxicose no Brasil. (2010-2025)</w:t>
      </w:r>
      <w:r w:rsidRPr="00543B9C">
        <w:rPr>
          <w:sz w:val="22"/>
        </w:rPr>
        <w:tab/>
      </w:r>
      <w:r w:rsidRPr="00543B9C">
        <w:rPr>
          <w:b/>
          <w:color w:val="1A1A1A"/>
          <w:sz w:val="22"/>
        </w:rPr>
        <w:t>77</w:t>
      </w:r>
    </w:p>
    <w:p w:rsidR="000B5910" w:rsidRPr="00543B9C" w:rsidRDefault="00057F5C">
      <w:pPr>
        <w:tabs>
          <w:tab w:val="right" w:leader="dot" w:pos="9071"/>
        </w:tabs>
        <w:spacing w:after="60" w:line="252" w:lineRule="auto"/>
        <w:ind w:right="850"/>
        <w:rPr>
          <w:sz w:val="22"/>
        </w:rPr>
      </w:pPr>
      <w:r w:rsidRPr="00543B9C">
        <w:rPr>
          <w:color w:val="1A1A1A"/>
          <w:sz w:val="22"/>
        </w:rPr>
        <w:t>Inteligência artificial na avaliação de nódulos tireoidianos: Deep learning, TI-RADS e redução de biópsias desnecessárias</w:t>
      </w:r>
      <w:r w:rsidRPr="00543B9C">
        <w:rPr>
          <w:sz w:val="22"/>
        </w:rPr>
        <w:tab/>
      </w:r>
      <w:r w:rsidRPr="00543B9C">
        <w:rPr>
          <w:b/>
          <w:color w:val="1A1A1A"/>
          <w:sz w:val="22"/>
        </w:rPr>
        <w:t>78</w:t>
      </w:r>
    </w:p>
    <w:p w:rsidR="000B5910" w:rsidRDefault="000B5910">
      <w:pPr>
        <w:spacing w:before="160" w:after="80"/>
        <w:rPr>
          <w:b/>
          <w:bCs/>
          <w:color w:val="1A1A1A"/>
          <w:sz w:val="24"/>
          <w:szCs w:val="24"/>
        </w:rPr>
      </w:pPr>
    </w:p>
    <w:p w:rsidR="000B5910" w:rsidRPr="007020E5" w:rsidRDefault="00057F5C">
      <w:pPr>
        <w:spacing w:before="160" w:after="80"/>
        <w:rPr>
          <w:b/>
          <w:bCs/>
          <w:color w:val="1A1A1A"/>
          <w:sz w:val="22"/>
          <w:szCs w:val="24"/>
        </w:rPr>
      </w:pPr>
      <w:r w:rsidRPr="007020E5">
        <w:rPr>
          <w:b/>
          <w:color w:val="1A1A1A"/>
          <w:sz w:val="22"/>
        </w:rPr>
        <w:t>ENDOCRINOLOGIA DO ESPORTE</w:t>
      </w:r>
    </w:p>
    <w:p w:rsidR="000B5910" w:rsidRDefault="000B5910">
      <w:pPr>
        <w:spacing w:before="160" w:after="80"/>
      </w:pPr>
    </w:p>
    <w:p w:rsidR="000B5910" w:rsidRPr="00543B9C" w:rsidRDefault="00057F5C">
      <w:pPr>
        <w:tabs>
          <w:tab w:val="right" w:leader="dot" w:pos="9071"/>
        </w:tabs>
        <w:spacing w:after="60" w:line="252" w:lineRule="auto"/>
        <w:ind w:right="850"/>
        <w:rPr>
          <w:sz w:val="22"/>
        </w:rPr>
      </w:pPr>
      <w:r w:rsidRPr="00543B9C">
        <w:rPr>
          <w:color w:val="1A1A1A"/>
          <w:sz w:val="22"/>
        </w:rPr>
        <w:t>Implicações clínicas relacionadas ao abuso de esteroides anabolizantes: Uma revisão de literatura</w:t>
      </w:r>
      <w:r w:rsidRPr="00543B9C">
        <w:rPr>
          <w:sz w:val="22"/>
        </w:rPr>
        <w:tab/>
      </w:r>
      <w:r w:rsidRPr="00543B9C">
        <w:rPr>
          <w:b/>
          <w:color w:val="1A1A1A"/>
          <w:sz w:val="22"/>
        </w:rPr>
        <w:t>79</w:t>
      </w:r>
    </w:p>
    <w:p w:rsidR="000B5910" w:rsidRPr="00543B9C" w:rsidRDefault="00057F5C">
      <w:pPr>
        <w:tabs>
          <w:tab w:val="right" w:leader="dot" w:pos="9071"/>
        </w:tabs>
        <w:spacing w:after="60" w:line="252" w:lineRule="auto"/>
        <w:ind w:right="850"/>
        <w:rPr>
          <w:sz w:val="22"/>
        </w:rPr>
      </w:pPr>
      <w:r w:rsidRPr="00543B9C">
        <w:rPr>
          <w:color w:val="1A1A1A"/>
          <w:sz w:val="22"/>
        </w:rPr>
        <w:t>Conhecimento, percepção de risco e uso de esteroides anabolizantes: análise de uma pesquisa de opinião</w:t>
      </w:r>
      <w:r w:rsidRPr="00543B9C">
        <w:rPr>
          <w:sz w:val="22"/>
        </w:rPr>
        <w:tab/>
      </w:r>
      <w:r w:rsidRPr="00543B9C">
        <w:rPr>
          <w:b/>
          <w:color w:val="1A1A1A"/>
          <w:sz w:val="22"/>
        </w:rPr>
        <w:t>80</w:t>
      </w:r>
    </w:p>
    <w:p w:rsidR="000B5910" w:rsidRPr="00543B9C" w:rsidRDefault="00057F5C">
      <w:pPr>
        <w:tabs>
          <w:tab w:val="right" w:leader="dot" w:pos="9071"/>
        </w:tabs>
        <w:spacing w:after="60" w:line="252" w:lineRule="auto"/>
        <w:ind w:right="850"/>
        <w:rPr>
          <w:sz w:val="22"/>
        </w:rPr>
      </w:pPr>
      <w:r w:rsidRPr="00543B9C">
        <w:rPr>
          <w:color w:val="1A1A1A"/>
          <w:sz w:val="22"/>
        </w:rPr>
        <w:t xml:space="preserve">Moduladores Metabólicos No Desempenho Esportivo: Nova Fronteira Entre </w:t>
      </w:r>
      <w:proofErr w:type="gramStart"/>
      <w:r w:rsidRPr="00543B9C">
        <w:rPr>
          <w:color w:val="1A1A1A"/>
          <w:sz w:val="22"/>
        </w:rPr>
        <w:t>A</w:t>
      </w:r>
      <w:proofErr w:type="gramEnd"/>
      <w:r w:rsidRPr="00543B9C">
        <w:rPr>
          <w:color w:val="1A1A1A"/>
          <w:sz w:val="22"/>
        </w:rPr>
        <w:t xml:space="preserve"> Terapêutica Clínica E O Potencial Ergogênico</w:t>
      </w:r>
      <w:r w:rsidRPr="00543B9C">
        <w:rPr>
          <w:sz w:val="22"/>
        </w:rPr>
        <w:tab/>
      </w:r>
      <w:r w:rsidRPr="00543B9C">
        <w:rPr>
          <w:b/>
          <w:color w:val="1A1A1A"/>
          <w:sz w:val="22"/>
        </w:rPr>
        <w:t>81</w:t>
      </w:r>
    </w:p>
    <w:p w:rsidR="000B5910" w:rsidRDefault="000B5910">
      <w:pPr>
        <w:spacing w:before="160" w:after="80"/>
        <w:rPr>
          <w:b/>
          <w:bCs/>
          <w:color w:val="1A1A1A"/>
          <w:sz w:val="24"/>
          <w:szCs w:val="24"/>
        </w:rPr>
      </w:pPr>
    </w:p>
    <w:p w:rsidR="000B5910" w:rsidRPr="007020E5" w:rsidRDefault="00057F5C">
      <w:pPr>
        <w:spacing w:before="160" w:after="80"/>
        <w:rPr>
          <w:b/>
          <w:bCs/>
          <w:color w:val="1A1A1A"/>
          <w:sz w:val="22"/>
          <w:szCs w:val="24"/>
        </w:rPr>
      </w:pPr>
      <w:r w:rsidRPr="007020E5">
        <w:rPr>
          <w:b/>
          <w:color w:val="1A1A1A"/>
          <w:sz w:val="22"/>
        </w:rPr>
        <w:lastRenderedPageBreak/>
        <w:t>ENDOCRINOLOGIA FEMININA E ANDROLOGIA</w:t>
      </w:r>
    </w:p>
    <w:p w:rsidR="000B5910" w:rsidRDefault="000B5910">
      <w:pPr>
        <w:spacing w:before="160" w:after="80"/>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Interação farmacológico-clínica dos análogos do receptor GLP-1/GIP com os contraceptivos orais: uma revisão sistemática</w:t>
      </w:r>
      <w:r w:rsidRPr="00543B9C">
        <w:rPr>
          <w:sz w:val="22"/>
          <w:szCs w:val="21"/>
        </w:rPr>
        <w:tab/>
      </w:r>
      <w:r w:rsidRPr="00543B9C">
        <w:rPr>
          <w:b/>
          <w:color w:val="1A1A1A"/>
          <w:sz w:val="22"/>
          <w:szCs w:val="21"/>
        </w:rPr>
        <w:t>82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Hiperandrogenismo induzido por implante hormonal associado à alopecia androgenética em mulher jovem: relato de caso</w:t>
      </w:r>
      <w:r w:rsidRPr="00543B9C">
        <w:rPr>
          <w:sz w:val="22"/>
          <w:szCs w:val="21"/>
        </w:rPr>
        <w:tab/>
      </w:r>
      <w:r w:rsidRPr="00543B9C">
        <w:rPr>
          <w:b/>
          <w:color w:val="1A1A1A"/>
          <w:sz w:val="22"/>
          <w:szCs w:val="21"/>
        </w:rPr>
        <w:t>83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Terapia de reposição hormonal na menopausa: benefícios terapêuticos e perspectivas para incorporação no SUS.</w:t>
      </w:r>
      <w:r w:rsidRPr="00543B9C">
        <w:rPr>
          <w:sz w:val="22"/>
          <w:szCs w:val="21"/>
        </w:rPr>
        <w:tab/>
      </w:r>
      <w:r w:rsidRPr="00543B9C">
        <w:rPr>
          <w:b/>
          <w:color w:val="1A1A1A"/>
          <w:sz w:val="22"/>
          <w:szCs w:val="21"/>
        </w:rPr>
        <w:t>84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Hiperandrogenismo na pós-menopausa: relato de caso de hipertecose ovariana.</w:t>
      </w:r>
      <w:r w:rsidRPr="00543B9C">
        <w:rPr>
          <w:sz w:val="22"/>
          <w:szCs w:val="21"/>
        </w:rPr>
        <w:tab/>
      </w:r>
      <w:r w:rsidRPr="00543B9C">
        <w:rPr>
          <w:b/>
          <w:color w:val="1A1A1A"/>
          <w:sz w:val="22"/>
          <w:szCs w:val="21"/>
        </w:rPr>
        <w:t>85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 preferência pelo implante de etonogestrel em mulheres com diabetes mellitus, quando disponível gratuitamente, sustenta sua adequação para oferta no SUS.</w:t>
      </w:r>
      <w:r w:rsidRPr="00543B9C">
        <w:rPr>
          <w:sz w:val="22"/>
          <w:szCs w:val="21"/>
        </w:rPr>
        <w:tab/>
      </w:r>
      <w:r w:rsidRPr="00543B9C">
        <w:rPr>
          <w:b/>
          <w:color w:val="1A1A1A"/>
          <w:sz w:val="22"/>
          <w:szCs w:val="21"/>
        </w:rPr>
        <w:t>86</w:t>
      </w:r>
    </w:p>
    <w:p w:rsidR="000B5910" w:rsidRDefault="000B5910">
      <w:pPr>
        <w:spacing w:before="160" w:after="80"/>
      </w:pPr>
    </w:p>
    <w:p w:rsidR="000B5910" w:rsidRPr="007020E5" w:rsidRDefault="00057F5C">
      <w:pPr>
        <w:spacing w:before="160" w:after="80"/>
        <w:rPr>
          <w:b/>
          <w:bCs/>
          <w:color w:val="1A1A1A"/>
          <w:sz w:val="22"/>
        </w:rPr>
      </w:pPr>
      <w:r w:rsidRPr="007020E5">
        <w:rPr>
          <w:b/>
          <w:color w:val="1A1A1A"/>
          <w:sz w:val="22"/>
        </w:rPr>
        <w:t>METABOLISMO ÓSSEO E MINERAL</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Osteomalácia oncogênica e meningioma: Relato de caso e perspectiva terapêutica com burosumabe.</w:t>
      </w:r>
      <w:r w:rsidRPr="00543B9C">
        <w:rPr>
          <w:sz w:val="22"/>
          <w:szCs w:val="21"/>
        </w:rPr>
        <w:tab/>
      </w:r>
      <w:r w:rsidRPr="00543B9C">
        <w:rPr>
          <w:b/>
          <w:color w:val="1A1A1A"/>
          <w:sz w:val="22"/>
          <w:szCs w:val="21"/>
        </w:rPr>
        <w:t>87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Crise hipercalcêmica secundária a hiperparatireoidismo primário: um relato de caso e revisão da literatura</w:t>
      </w:r>
      <w:r w:rsidRPr="00543B9C">
        <w:rPr>
          <w:sz w:val="22"/>
          <w:szCs w:val="21"/>
        </w:rPr>
        <w:tab/>
      </w:r>
      <w:r w:rsidRPr="00543B9C">
        <w:rPr>
          <w:b/>
          <w:color w:val="1A1A1A"/>
          <w:sz w:val="22"/>
          <w:szCs w:val="21"/>
        </w:rPr>
        <w:t>88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Impacto do envelhecimento populacional nas internações por fratura de fêmur em idosos no Rio Grande do Sul: análise epidemiológica</w:t>
      </w:r>
      <w:r w:rsidRPr="00543B9C">
        <w:rPr>
          <w:sz w:val="22"/>
          <w:szCs w:val="21"/>
        </w:rPr>
        <w:tab/>
      </w:r>
      <w:r w:rsidRPr="00543B9C">
        <w:rPr>
          <w:b/>
          <w:color w:val="1A1A1A"/>
          <w:sz w:val="22"/>
          <w:szCs w:val="21"/>
        </w:rPr>
        <w:t>89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Manifestação óssea rara do hiperparatireoidismo primário: tumor marrom no primeiro metatarso – relato de caso e revisão da literatura</w:t>
      </w:r>
      <w:r w:rsidRPr="00543B9C">
        <w:rPr>
          <w:sz w:val="22"/>
          <w:szCs w:val="21"/>
        </w:rPr>
        <w:tab/>
      </w:r>
      <w:r w:rsidRPr="00543B9C">
        <w:rPr>
          <w:b/>
          <w:color w:val="1A1A1A"/>
          <w:sz w:val="22"/>
          <w:szCs w:val="21"/>
        </w:rPr>
        <w:t>90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Tendência temporal e perfil epidemiológico das internações por fratura de fêmur em idosos no Rio Grande do Sul entre 2015 e 2024</w:t>
      </w:r>
      <w:r w:rsidRPr="00543B9C">
        <w:rPr>
          <w:sz w:val="22"/>
          <w:szCs w:val="21"/>
        </w:rPr>
        <w:tab/>
      </w:r>
      <w:r w:rsidRPr="00543B9C">
        <w:rPr>
          <w:b/>
          <w:color w:val="1A1A1A"/>
          <w:sz w:val="22"/>
          <w:szCs w:val="21"/>
        </w:rPr>
        <w:t>91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Terapia Antirreabsortiva em Paciente Adolescente com Tumor de Células Gigantes Mandibular</w:t>
      </w:r>
      <w:r w:rsidRPr="00543B9C">
        <w:rPr>
          <w:sz w:val="22"/>
          <w:szCs w:val="21"/>
        </w:rPr>
        <w:tab/>
      </w:r>
      <w:r w:rsidRPr="00543B9C">
        <w:rPr>
          <w:b/>
          <w:color w:val="1A1A1A"/>
          <w:sz w:val="22"/>
          <w:szCs w:val="21"/>
        </w:rPr>
        <w:t>92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Impacto da perda ponderal induzida por agonistas incretinicos na massa óssea e risco de fraturas</w:t>
      </w:r>
      <w:r w:rsidRPr="00543B9C">
        <w:rPr>
          <w:sz w:val="22"/>
          <w:szCs w:val="21"/>
        </w:rPr>
        <w:tab/>
      </w:r>
      <w:r w:rsidRPr="00543B9C">
        <w:rPr>
          <w:b/>
          <w:color w:val="1A1A1A"/>
          <w:sz w:val="22"/>
          <w:szCs w:val="21"/>
        </w:rPr>
        <w:t>93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Investigação de Hipocalcemia Grave e Diagnóstico de Pseudohipoparatireoidismo Tipo 1B em Adulto Jovem na Enfermaria Clínica.</w:t>
      </w:r>
      <w:r w:rsidRPr="00543B9C">
        <w:rPr>
          <w:sz w:val="22"/>
          <w:szCs w:val="21"/>
        </w:rPr>
        <w:tab/>
      </w:r>
      <w:r w:rsidRPr="00543B9C">
        <w:rPr>
          <w:b/>
          <w:color w:val="1A1A1A"/>
          <w:sz w:val="22"/>
          <w:szCs w:val="21"/>
        </w:rPr>
        <w:t>94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Fratura de fêmur como evento sentinela para osteoporose em mulheres: análise epidemiológica</w:t>
      </w:r>
      <w:r w:rsidRPr="00543B9C">
        <w:rPr>
          <w:color w:val="1A1A1A"/>
          <w:sz w:val="22"/>
        </w:rPr>
        <w:t xml:space="preserve"> </w:t>
      </w:r>
      <w:r w:rsidRPr="00543B9C">
        <w:rPr>
          <w:color w:val="1A1A1A"/>
          <w:sz w:val="22"/>
          <w:szCs w:val="21"/>
        </w:rPr>
        <w:t>no Sul do Brasil</w:t>
      </w:r>
      <w:r w:rsidRPr="00543B9C">
        <w:rPr>
          <w:sz w:val="22"/>
          <w:szCs w:val="21"/>
        </w:rPr>
        <w:tab/>
      </w:r>
      <w:r w:rsidRPr="00543B9C">
        <w:rPr>
          <w:b/>
          <w:color w:val="1A1A1A"/>
          <w:sz w:val="22"/>
          <w:szCs w:val="21"/>
        </w:rPr>
        <w:t>95</w:t>
      </w:r>
    </w:p>
    <w:p w:rsidR="000B5910" w:rsidRDefault="000B5910">
      <w:pPr>
        <w:spacing w:before="160" w:after="80"/>
      </w:pPr>
    </w:p>
    <w:p w:rsidR="000B5910" w:rsidRPr="00057F5C" w:rsidRDefault="00057F5C">
      <w:pPr>
        <w:spacing w:before="160" w:after="80"/>
        <w:rPr>
          <w:b/>
          <w:bCs/>
          <w:color w:val="1A1A1A"/>
          <w:sz w:val="28"/>
          <w:szCs w:val="24"/>
        </w:rPr>
      </w:pPr>
      <w:r w:rsidRPr="007020E5">
        <w:rPr>
          <w:b/>
          <w:color w:val="1A1A1A"/>
          <w:sz w:val="22"/>
        </w:rPr>
        <w:t>NEUROENDOCRINOLOGIA</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Características Clínicas e Comorbidades em Pacientes com Hipoprolactinemia</w:t>
      </w:r>
      <w:r w:rsidRPr="00543B9C">
        <w:rPr>
          <w:sz w:val="22"/>
          <w:szCs w:val="21"/>
        </w:rPr>
        <w:tab/>
      </w:r>
      <w:r w:rsidRPr="00543B9C">
        <w:rPr>
          <w:b/>
          <w:color w:val="1A1A1A"/>
          <w:sz w:val="22"/>
          <w:szCs w:val="21"/>
        </w:rPr>
        <w:t>96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Acromegalia com elevação discreta de IGF-1 (micromegalia): diagnóstico e evolução clínica de um paciente idoso</w:t>
      </w:r>
      <w:r w:rsidRPr="00543B9C">
        <w:rPr>
          <w:sz w:val="22"/>
          <w:szCs w:val="21"/>
        </w:rPr>
        <w:tab/>
      </w:r>
      <w:r w:rsidRPr="00543B9C">
        <w:rPr>
          <w:b/>
          <w:color w:val="1A1A1A"/>
          <w:sz w:val="22"/>
          <w:szCs w:val="21"/>
        </w:rPr>
        <w:t>97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lastRenderedPageBreak/>
        <w:t>Dor, Disabilidade Funcional e Alterações Radiológicas em Mãos e Ombros de Pacientes com Acromegalia</w:t>
      </w:r>
      <w:r w:rsidRPr="00543B9C">
        <w:rPr>
          <w:sz w:val="22"/>
          <w:szCs w:val="21"/>
        </w:rPr>
        <w:tab/>
      </w:r>
      <w:r w:rsidRPr="00543B9C">
        <w:rPr>
          <w:b/>
          <w:color w:val="1A1A1A"/>
          <w:sz w:val="22"/>
          <w:szCs w:val="21"/>
        </w:rPr>
        <w:t>98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Hiponatremia induzida por Inibidor de Checkpoint Imune (ICI) - Importância do diagnóstico diferencial</w:t>
      </w:r>
      <w:r w:rsidRPr="00543B9C">
        <w:rPr>
          <w:sz w:val="22"/>
          <w:szCs w:val="21"/>
        </w:rPr>
        <w:tab/>
      </w:r>
      <w:r w:rsidRPr="00543B9C">
        <w:rPr>
          <w:b/>
          <w:color w:val="1A1A1A"/>
          <w:sz w:val="22"/>
          <w:szCs w:val="21"/>
        </w:rPr>
        <w:t>99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 xml:space="preserve">Efeito Neuroprotetor Do Cacau Em Células </w:t>
      </w:r>
      <w:proofErr w:type="gramStart"/>
      <w:r w:rsidRPr="00543B9C">
        <w:rPr>
          <w:color w:val="1A1A1A"/>
          <w:sz w:val="22"/>
          <w:szCs w:val="21"/>
        </w:rPr>
        <w:t>Da</w:t>
      </w:r>
      <w:proofErr w:type="gramEnd"/>
      <w:r w:rsidRPr="00543B9C">
        <w:rPr>
          <w:color w:val="1A1A1A"/>
          <w:sz w:val="22"/>
          <w:szCs w:val="21"/>
        </w:rPr>
        <w:t xml:space="preserve"> Micróglia (Bv2) Submetidas À Glicotoxicidade</w:t>
      </w:r>
      <w:r w:rsidRPr="00543B9C">
        <w:rPr>
          <w:sz w:val="22"/>
          <w:szCs w:val="21"/>
        </w:rPr>
        <w:tab/>
      </w:r>
      <w:r w:rsidRPr="00543B9C">
        <w:rPr>
          <w:b/>
          <w:color w:val="1A1A1A"/>
          <w:sz w:val="22"/>
          <w:szCs w:val="21"/>
        </w:rPr>
        <w:t>100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Agonistas do receptor de GLP-1 e depressão: uma revisão sistematizada dos mecanismos neuroendócrinos e evidências clínicas</w:t>
      </w:r>
      <w:r w:rsidRPr="00543B9C">
        <w:rPr>
          <w:sz w:val="22"/>
          <w:szCs w:val="21"/>
        </w:rPr>
        <w:tab/>
      </w:r>
      <w:r w:rsidRPr="00543B9C">
        <w:rPr>
          <w:b/>
          <w:color w:val="1A1A1A"/>
          <w:sz w:val="22"/>
          <w:szCs w:val="21"/>
        </w:rPr>
        <w:t>101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Tumores hipofisários secretores de hormônio do crescimento e a co-secreção de prolactina: uma análise de pacientes com acromegalia e com somatotropinomas silenciosos</w:t>
      </w:r>
      <w:r w:rsidRPr="00543B9C">
        <w:rPr>
          <w:sz w:val="22"/>
          <w:szCs w:val="21"/>
        </w:rPr>
        <w:tab/>
      </w:r>
      <w:r w:rsidRPr="00543B9C">
        <w:rPr>
          <w:b/>
          <w:color w:val="1A1A1A"/>
          <w:sz w:val="22"/>
          <w:szCs w:val="21"/>
        </w:rPr>
        <w:t>102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Capacidade diagnóstica de parâmetros basais na insuficiência adrenal em comparação ao cortisol estimulado pelo teste de tolerância à insulina</w:t>
      </w:r>
      <w:r w:rsidRPr="00543B9C">
        <w:rPr>
          <w:sz w:val="22"/>
          <w:szCs w:val="21"/>
        </w:rPr>
        <w:tab/>
      </w:r>
      <w:r w:rsidRPr="00543B9C">
        <w:rPr>
          <w:b/>
          <w:color w:val="1A1A1A"/>
          <w:sz w:val="22"/>
          <w:szCs w:val="21"/>
        </w:rPr>
        <w:t>103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Preservação da fertilidade em paciente com acromegalia por macroadenoma hipofisário secretor de GH e prolactina: relato de caso</w:t>
      </w:r>
      <w:r w:rsidRPr="00543B9C">
        <w:rPr>
          <w:sz w:val="22"/>
          <w:szCs w:val="21"/>
        </w:rPr>
        <w:tab/>
      </w:r>
      <w:r w:rsidRPr="00543B9C">
        <w:rPr>
          <w:b/>
          <w:color w:val="1A1A1A"/>
          <w:sz w:val="22"/>
          <w:szCs w:val="21"/>
        </w:rPr>
        <w:t>104</w:t>
      </w:r>
    </w:p>
    <w:p w:rsidR="000B5910" w:rsidRDefault="000B5910">
      <w:pPr>
        <w:spacing w:before="160" w:after="80"/>
      </w:pPr>
    </w:p>
    <w:p w:rsidR="00057F5C" w:rsidRDefault="00057F5C">
      <w:pPr>
        <w:spacing w:before="160" w:after="80"/>
        <w:rPr>
          <w:b/>
          <w:color w:val="1A1A1A"/>
          <w:sz w:val="24"/>
        </w:rPr>
      </w:pPr>
    </w:p>
    <w:p w:rsidR="000B5910" w:rsidRPr="007020E5" w:rsidRDefault="00057F5C">
      <w:pPr>
        <w:spacing w:before="160" w:after="80"/>
        <w:rPr>
          <w:b/>
          <w:bCs/>
          <w:color w:val="1A1A1A"/>
          <w:sz w:val="22"/>
        </w:rPr>
      </w:pPr>
      <w:r w:rsidRPr="007020E5">
        <w:rPr>
          <w:b/>
          <w:color w:val="1A1A1A"/>
          <w:sz w:val="22"/>
        </w:rPr>
        <w:t>ENDOCRINOLOGIA PEDIÁTRICA</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Administração oral e intranasal de insulina como imunoterapia em crianças com autoanticorpos positivos na fase pré-clínica do diabetes mellitus tipo 1: revisão sistemática e meta-análise</w:t>
      </w:r>
      <w:r w:rsidRPr="00543B9C">
        <w:rPr>
          <w:sz w:val="22"/>
          <w:szCs w:val="21"/>
        </w:rPr>
        <w:tab/>
      </w:r>
      <w:r w:rsidRPr="00543B9C">
        <w:rPr>
          <w:b/>
          <w:color w:val="1A1A1A"/>
          <w:sz w:val="22"/>
          <w:szCs w:val="21"/>
        </w:rPr>
        <w:t>105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Manejo de Cetoacidose Grave em Ambiente de Urgência do Interior sem UTI Pediátrica: um Relato de Caso</w:t>
      </w:r>
      <w:r w:rsidRPr="00543B9C">
        <w:rPr>
          <w:sz w:val="22"/>
          <w:szCs w:val="21"/>
        </w:rPr>
        <w:tab/>
      </w:r>
      <w:r w:rsidRPr="00543B9C">
        <w:rPr>
          <w:b/>
          <w:color w:val="1A1A1A"/>
          <w:sz w:val="22"/>
          <w:szCs w:val="21"/>
        </w:rPr>
        <w:t>106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Doença de Cushing na infância por Microadenoma Hipofisário: relato de caso</w:t>
      </w:r>
      <w:r w:rsidRPr="00543B9C">
        <w:rPr>
          <w:sz w:val="22"/>
          <w:szCs w:val="21"/>
        </w:rPr>
        <w:tab/>
      </w:r>
      <w:r w:rsidRPr="00543B9C">
        <w:rPr>
          <w:b/>
          <w:color w:val="1A1A1A"/>
          <w:sz w:val="22"/>
          <w:szCs w:val="21"/>
        </w:rPr>
        <w:t>107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Manifestações Neuropsiquiátricas Como Apresentação Inicial De Doença De Graves Na Infância: Um Relato De Caso</w:t>
      </w:r>
      <w:r w:rsidRPr="00543B9C">
        <w:rPr>
          <w:sz w:val="22"/>
          <w:szCs w:val="21"/>
        </w:rPr>
        <w:tab/>
      </w:r>
      <w:r w:rsidRPr="00543B9C">
        <w:rPr>
          <w:b/>
          <w:color w:val="1A1A1A"/>
          <w:sz w:val="22"/>
          <w:szCs w:val="21"/>
        </w:rPr>
        <w:t>108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Benefícios do exercício de força em crianças e adolescentes com sobrepeso ou obesidade: uma revisão sistemática e meta-análise</w:t>
      </w:r>
      <w:r w:rsidRPr="00543B9C">
        <w:rPr>
          <w:sz w:val="22"/>
          <w:szCs w:val="21"/>
        </w:rPr>
        <w:tab/>
      </w:r>
      <w:r w:rsidRPr="00543B9C">
        <w:rPr>
          <w:b/>
          <w:color w:val="1A1A1A"/>
          <w:sz w:val="22"/>
          <w:szCs w:val="21"/>
        </w:rPr>
        <w:t>109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Eficácia e segurança de agonistas do receptor de GLP-1 (liraglutida e semaglutida) na redução de peso em crianças e adolescentes com obesidade - uma revisão sistemática</w:t>
      </w:r>
      <w:r w:rsidRPr="00543B9C">
        <w:rPr>
          <w:sz w:val="22"/>
          <w:szCs w:val="21"/>
        </w:rPr>
        <w:tab/>
      </w:r>
      <w:r w:rsidRPr="00543B9C">
        <w:rPr>
          <w:b/>
          <w:color w:val="1A1A1A"/>
          <w:sz w:val="22"/>
          <w:szCs w:val="21"/>
        </w:rPr>
        <w:t>110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Diagnóstico precoce e manejo endócrino na Síndrome de Prader-Willi: Relato de três casos pediátricos</w:t>
      </w:r>
      <w:r w:rsidRPr="00543B9C">
        <w:rPr>
          <w:sz w:val="22"/>
          <w:szCs w:val="21"/>
        </w:rPr>
        <w:tab/>
      </w:r>
      <w:r w:rsidRPr="00543B9C">
        <w:rPr>
          <w:b/>
          <w:color w:val="1A1A1A"/>
          <w:sz w:val="22"/>
          <w:szCs w:val="21"/>
        </w:rPr>
        <w:t>111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Síndrome de Prader-Willi no Brasil: Uma análise clínica e epidemiológica da Rede Nacional de Doenças Raras</w:t>
      </w:r>
      <w:r w:rsidRPr="00543B9C">
        <w:rPr>
          <w:sz w:val="22"/>
          <w:szCs w:val="21"/>
        </w:rPr>
        <w:tab/>
      </w:r>
      <w:r w:rsidRPr="00543B9C">
        <w:rPr>
          <w:b/>
          <w:color w:val="1A1A1A"/>
          <w:sz w:val="22"/>
          <w:szCs w:val="21"/>
        </w:rPr>
        <w:t>112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Baixa estatura como pista diagnóstica em doenças raras: análise da Rede Nacional de Doenças Raras</w:t>
      </w:r>
      <w:r w:rsidRPr="00543B9C">
        <w:rPr>
          <w:sz w:val="22"/>
          <w:szCs w:val="21"/>
        </w:rPr>
        <w:tab/>
      </w:r>
      <w:r w:rsidRPr="00543B9C">
        <w:rPr>
          <w:b/>
          <w:color w:val="1A1A1A"/>
          <w:sz w:val="22"/>
          <w:szCs w:val="21"/>
        </w:rPr>
        <w:t>113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Mortalidade por Hiperplasia Adrenal Congênita em Crianças no Brasil: Uma Análise Epidemiológica de 2017 a 2024</w:t>
      </w:r>
      <w:r w:rsidRPr="00543B9C">
        <w:rPr>
          <w:sz w:val="22"/>
          <w:szCs w:val="21"/>
        </w:rPr>
        <w:tab/>
      </w:r>
      <w:r w:rsidRPr="00543B9C">
        <w:rPr>
          <w:b/>
          <w:color w:val="1A1A1A"/>
          <w:sz w:val="22"/>
          <w:szCs w:val="21"/>
        </w:rPr>
        <w:t>114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Sistosterolemia infantil: relato de caso e desafio diagnóstico</w:t>
      </w:r>
      <w:r w:rsidRPr="00543B9C">
        <w:rPr>
          <w:sz w:val="22"/>
          <w:szCs w:val="21"/>
        </w:rPr>
        <w:tab/>
      </w:r>
      <w:r w:rsidRPr="00543B9C">
        <w:rPr>
          <w:b/>
          <w:color w:val="1A1A1A"/>
          <w:sz w:val="22"/>
          <w:szCs w:val="21"/>
        </w:rPr>
        <w:t>115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lastRenderedPageBreak/>
        <w:t>Pan-hipopituitarismo em paciente com exposição ao octreotide LAR durante a gestação: relato de caso e revisão da literatura</w:t>
      </w:r>
      <w:r w:rsidRPr="00543B9C">
        <w:rPr>
          <w:sz w:val="22"/>
          <w:szCs w:val="21"/>
        </w:rPr>
        <w:tab/>
      </w:r>
      <w:r w:rsidRPr="00543B9C">
        <w:rPr>
          <w:b/>
          <w:color w:val="1A1A1A"/>
          <w:sz w:val="22"/>
          <w:szCs w:val="21"/>
        </w:rPr>
        <w:t>116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Variabilidade fenotípica e manifestações precoces em um paciente pediátrico com síndrome de Klinefelter</w:t>
      </w:r>
      <w:r w:rsidRPr="00543B9C">
        <w:rPr>
          <w:sz w:val="22"/>
          <w:szCs w:val="21"/>
        </w:rPr>
        <w:tab/>
      </w:r>
      <w:r w:rsidRPr="00543B9C">
        <w:rPr>
          <w:b/>
          <w:color w:val="1A1A1A"/>
          <w:sz w:val="22"/>
          <w:szCs w:val="21"/>
        </w:rPr>
        <w:t>117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Hiperinsulinismo congênito em paciente com mosaicismo triploide-diploide (</w:t>
      </w:r>
      <w:proofErr w:type="gramStart"/>
      <w:r w:rsidRPr="00543B9C">
        <w:rPr>
          <w:color w:val="1A1A1A"/>
          <w:sz w:val="22"/>
          <w:szCs w:val="21"/>
        </w:rPr>
        <w:t>69,XXX</w:t>
      </w:r>
      <w:proofErr w:type="gramEnd"/>
      <w:r w:rsidRPr="00543B9C">
        <w:rPr>
          <w:color w:val="1A1A1A"/>
          <w:sz w:val="22"/>
          <w:szCs w:val="21"/>
        </w:rPr>
        <w:t>/46,XX): relato de caso</w:t>
      </w:r>
      <w:r w:rsidRPr="00543B9C">
        <w:rPr>
          <w:sz w:val="22"/>
          <w:szCs w:val="21"/>
        </w:rPr>
        <w:tab/>
      </w:r>
      <w:r w:rsidRPr="00543B9C">
        <w:rPr>
          <w:b/>
          <w:color w:val="1A1A1A"/>
          <w:sz w:val="22"/>
          <w:szCs w:val="21"/>
        </w:rPr>
        <w:t>118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Mosaicismo na Síndrome de Turner: Diagnóstico genético como base para o manejo clínico.</w:t>
      </w:r>
      <w:r w:rsidRPr="00543B9C">
        <w:rPr>
          <w:sz w:val="22"/>
          <w:szCs w:val="21"/>
        </w:rPr>
        <w:tab/>
      </w:r>
      <w:r w:rsidRPr="00543B9C">
        <w:rPr>
          <w:b/>
          <w:color w:val="1A1A1A"/>
          <w:sz w:val="22"/>
          <w:szCs w:val="21"/>
        </w:rPr>
        <w:t>119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Distúrbio epigenético do crescimento com hipoglicemia neonatal: relato de dois casos de síndrome de Beckwith-Wiedemann</w:t>
      </w:r>
      <w:r w:rsidRPr="00543B9C">
        <w:rPr>
          <w:sz w:val="22"/>
          <w:szCs w:val="21"/>
        </w:rPr>
        <w:tab/>
      </w:r>
      <w:r w:rsidRPr="00543B9C">
        <w:rPr>
          <w:b/>
          <w:color w:val="1A1A1A"/>
          <w:sz w:val="22"/>
          <w:szCs w:val="21"/>
        </w:rPr>
        <w:t>120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Tendência temporal da puberdade precoce central no Sul do Brasil: Análise das dispensações de análogos de GnRH como proxy epidemiológico</w:t>
      </w:r>
      <w:r w:rsidRPr="00543B9C">
        <w:rPr>
          <w:sz w:val="22"/>
          <w:szCs w:val="21"/>
        </w:rPr>
        <w:tab/>
      </w:r>
      <w:r w:rsidRPr="00543B9C">
        <w:rPr>
          <w:b/>
          <w:color w:val="1A1A1A"/>
          <w:sz w:val="22"/>
          <w:szCs w:val="21"/>
        </w:rPr>
        <w:t>121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Recidiva precoce de rabdomiossarcoma com infiltração hipofisária e disfunção endócrina central: relato de caso</w:t>
      </w:r>
      <w:r w:rsidRPr="00543B9C">
        <w:rPr>
          <w:sz w:val="22"/>
          <w:szCs w:val="21"/>
        </w:rPr>
        <w:tab/>
      </w:r>
      <w:r w:rsidRPr="00543B9C">
        <w:rPr>
          <w:b/>
          <w:color w:val="1A1A1A"/>
          <w:sz w:val="22"/>
          <w:szCs w:val="21"/>
        </w:rPr>
        <w:t>122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Hiponatremia grave em lactente com uropatia obstrutiva: pseudohipoaldosteronismo transitório</w:t>
      </w:r>
      <w:r w:rsidRPr="00543B9C">
        <w:rPr>
          <w:sz w:val="22"/>
          <w:szCs w:val="21"/>
        </w:rPr>
        <w:tab/>
      </w:r>
      <w:r w:rsidRPr="00543B9C">
        <w:rPr>
          <w:b/>
          <w:color w:val="1A1A1A"/>
          <w:sz w:val="22"/>
          <w:szCs w:val="21"/>
        </w:rPr>
        <w:t>123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 xml:space="preserve">Pan-hipopituitarismo transitório secundário </w:t>
      </w:r>
      <w:proofErr w:type="gramStart"/>
      <w:r w:rsidRPr="00543B9C">
        <w:rPr>
          <w:color w:val="1A1A1A"/>
          <w:sz w:val="22"/>
          <w:szCs w:val="21"/>
        </w:rPr>
        <w:t>a</w:t>
      </w:r>
      <w:proofErr w:type="gramEnd"/>
      <w:r w:rsidRPr="00543B9C">
        <w:rPr>
          <w:color w:val="1A1A1A"/>
          <w:sz w:val="22"/>
          <w:szCs w:val="21"/>
        </w:rPr>
        <w:t xml:space="preserve"> anorexia nervosa infantil: um relato de caso</w:t>
      </w:r>
      <w:r w:rsidRPr="00543B9C">
        <w:rPr>
          <w:sz w:val="22"/>
          <w:szCs w:val="21"/>
        </w:rPr>
        <w:tab/>
      </w:r>
      <w:r w:rsidRPr="00543B9C">
        <w:rPr>
          <w:b/>
          <w:color w:val="1A1A1A"/>
          <w:sz w:val="22"/>
          <w:szCs w:val="21"/>
        </w:rPr>
        <w:t>124</w:t>
      </w:r>
    </w:p>
    <w:p w:rsidR="000B5910" w:rsidRDefault="000B5910">
      <w:pPr>
        <w:spacing w:before="160" w:after="80"/>
      </w:pPr>
    </w:p>
    <w:p w:rsidR="000B5910" w:rsidRPr="007020E5" w:rsidRDefault="00057F5C">
      <w:pPr>
        <w:spacing w:before="160" w:after="80"/>
        <w:rPr>
          <w:b/>
          <w:bCs/>
          <w:color w:val="1A1A1A"/>
          <w:sz w:val="22"/>
        </w:rPr>
      </w:pPr>
      <w:r w:rsidRPr="007020E5">
        <w:rPr>
          <w:b/>
          <w:color w:val="1A1A1A"/>
          <w:sz w:val="22"/>
        </w:rPr>
        <w:t>TIREOIDE</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rPr>
      </w:pPr>
      <w:r w:rsidRPr="00543B9C">
        <w:rPr>
          <w:color w:val="1A1A1A"/>
          <w:sz w:val="22"/>
        </w:rPr>
        <w:t>Doença de Graves em Crianças e Adolescentes: Perfil Clínico e Desfechos do Tratamento em um Centro Terciário Brasileiro</w:t>
      </w:r>
      <w:r w:rsidRPr="00543B9C">
        <w:rPr>
          <w:sz w:val="22"/>
        </w:rPr>
        <w:tab/>
      </w:r>
      <w:r w:rsidRPr="00543B9C">
        <w:rPr>
          <w:b/>
          <w:color w:val="1A1A1A"/>
          <w:sz w:val="22"/>
        </w:rPr>
        <w:t>125</w:t>
      </w:r>
    </w:p>
    <w:p w:rsidR="000B5910" w:rsidRPr="00543B9C" w:rsidRDefault="00057F5C">
      <w:pPr>
        <w:tabs>
          <w:tab w:val="right" w:leader="dot" w:pos="9071"/>
        </w:tabs>
        <w:spacing w:after="60" w:line="252" w:lineRule="auto"/>
        <w:ind w:right="850"/>
        <w:rPr>
          <w:sz w:val="22"/>
        </w:rPr>
      </w:pPr>
      <w:r w:rsidRPr="00543B9C">
        <w:rPr>
          <w:color w:val="1A1A1A"/>
          <w:sz w:val="22"/>
        </w:rPr>
        <w:t>Mortalidade por câncer de tireoide no Brasil (de 2010 a 2024): comparação entre Brasil, Sul e Norte com padronização internacional</w:t>
      </w:r>
      <w:r w:rsidRPr="00543B9C">
        <w:rPr>
          <w:sz w:val="22"/>
        </w:rPr>
        <w:tab/>
      </w:r>
      <w:r w:rsidRPr="00543B9C">
        <w:rPr>
          <w:b/>
          <w:color w:val="1A1A1A"/>
          <w:sz w:val="22"/>
        </w:rPr>
        <w:t>126</w:t>
      </w:r>
    </w:p>
    <w:p w:rsidR="000B5910" w:rsidRPr="00543B9C" w:rsidRDefault="00057F5C">
      <w:pPr>
        <w:tabs>
          <w:tab w:val="right" w:leader="dot" w:pos="9071"/>
        </w:tabs>
        <w:spacing w:after="60" w:line="252" w:lineRule="auto"/>
        <w:ind w:right="850"/>
        <w:rPr>
          <w:sz w:val="22"/>
        </w:rPr>
      </w:pPr>
      <w:r w:rsidRPr="00543B9C">
        <w:rPr>
          <w:color w:val="1A1A1A"/>
          <w:sz w:val="22"/>
        </w:rPr>
        <w:t>Efeito Wolff-Chaikoff secundário à exposição ocupacional de iodo</w:t>
      </w:r>
      <w:r w:rsidRPr="00543B9C">
        <w:rPr>
          <w:sz w:val="22"/>
        </w:rPr>
        <w:tab/>
      </w:r>
      <w:r w:rsidRPr="00543B9C">
        <w:rPr>
          <w:b/>
          <w:color w:val="1A1A1A"/>
          <w:sz w:val="22"/>
        </w:rPr>
        <w:t>127</w:t>
      </w:r>
    </w:p>
    <w:p w:rsidR="000B5910" w:rsidRPr="00543B9C" w:rsidRDefault="00057F5C">
      <w:pPr>
        <w:tabs>
          <w:tab w:val="right" w:leader="dot" w:pos="9071"/>
        </w:tabs>
        <w:spacing w:after="60" w:line="252" w:lineRule="auto"/>
        <w:ind w:right="850"/>
        <w:rPr>
          <w:sz w:val="22"/>
        </w:rPr>
      </w:pPr>
      <w:r w:rsidRPr="00543B9C">
        <w:rPr>
          <w:color w:val="1A1A1A"/>
          <w:sz w:val="22"/>
        </w:rPr>
        <w:t>Psicose mixedematosa no hipotireoidismo como diagnóstico diferencial em quadros psicóticos: uma revisão de literatura</w:t>
      </w:r>
      <w:r w:rsidRPr="00543B9C">
        <w:rPr>
          <w:sz w:val="22"/>
        </w:rPr>
        <w:tab/>
      </w:r>
      <w:r w:rsidRPr="00543B9C">
        <w:rPr>
          <w:b/>
          <w:color w:val="1A1A1A"/>
          <w:sz w:val="22"/>
        </w:rPr>
        <w:t>128</w:t>
      </w:r>
    </w:p>
    <w:p w:rsidR="000B5910" w:rsidRPr="00543B9C" w:rsidRDefault="00057F5C">
      <w:pPr>
        <w:tabs>
          <w:tab w:val="right" w:leader="dot" w:pos="9071"/>
        </w:tabs>
        <w:spacing w:after="60" w:line="252" w:lineRule="auto"/>
        <w:ind w:right="850"/>
        <w:rPr>
          <w:sz w:val="22"/>
        </w:rPr>
      </w:pPr>
      <w:r w:rsidRPr="00543B9C">
        <w:rPr>
          <w:color w:val="1A1A1A"/>
          <w:sz w:val="22"/>
        </w:rPr>
        <w:t>Bócio multinodular gigante complicado por infecção cutânea em paciente nonagenária: relato de caso</w:t>
      </w:r>
      <w:r w:rsidRPr="00543B9C">
        <w:rPr>
          <w:sz w:val="22"/>
        </w:rPr>
        <w:tab/>
      </w:r>
      <w:r w:rsidRPr="00543B9C">
        <w:rPr>
          <w:b/>
          <w:color w:val="1A1A1A"/>
          <w:sz w:val="22"/>
        </w:rPr>
        <w:t>129</w:t>
      </w:r>
    </w:p>
    <w:p w:rsidR="000B5910" w:rsidRPr="00543B9C" w:rsidRDefault="00057F5C">
      <w:pPr>
        <w:tabs>
          <w:tab w:val="right" w:leader="dot" w:pos="9071"/>
        </w:tabs>
        <w:spacing w:after="60" w:line="252" w:lineRule="auto"/>
        <w:ind w:right="850"/>
        <w:rPr>
          <w:sz w:val="22"/>
        </w:rPr>
      </w:pPr>
      <w:r w:rsidRPr="00543B9C">
        <w:rPr>
          <w:color w:val="1A1A1A"/>
          <w:sz w:val="22"/>
        </w:rPr>
        <w:t>Tendência temporal e perfil epidemiológico das internações hospitalares por transtornos da tireoide no SUS na Região Sul do Brasil (2008–2024)</w:t>
      </w:r>
      <w:r w:rsidRPr="00543B9C">
        <w:rPr>
          <w:sz w:val="22"/>
        </w:rPr>
        <w:tab/>
      </w:r>
      <w:r w:rsidRPr="00543B9C">
        <w:rPr>
          <w:b/>
          <w:color w:val="1A1A1A"/>
          <w:sz w:val="22"/>
        </w:rPr>
        <w:t>130</w:t>
      </w:r>
    </w:p>
    <w:p w:rsidR="000B5910" w:rsidRPr="00543B9C" w:rsidRDefault="00057F5C">
      <w:pPr>
        <w:tabs>
          <w:tab w:val="right" w:leader="dot" w:pos="9071"/>
        </w:tabs>
        <w:spacing w:after="60" w:line="252" w:lineRule="auto"/>
        <w:ind w:right="850"/>
        <w:rPr>
          <w:sz w:val="22"/>
        </w:rPr>
      </w:pPr>
      <w:r w:rsidRPr="00543B9C">
        <w:rPr>
          <w:color w:val="1A1A1A"/>
          <w:sz w:val="22"/>
        </w:rPr>
        <w:t>Perfil epidemiológico das internações hospitalares por tireotoxicose no Rio Grande do Sul no período de 2008 a 2025</w:t>
      </w:r>
      <w:r w:rsidRPr="00543B9C">
        <w:rPr>
          <w:sz w:val="22"/>
        </w:rPr>
        <w:tab/>
      </w:r>
      <w:r w:rsidRPr="00543B9C">
        <w:rPr>
          <w:b/>
          <w:color w:val="1A1A1A"/>
          <w:sz w:val="22"/>
        </w:rPr>
        <w:t>77</w:t>
      </w:r>
    </w:p>
    <w:p w:rsidR="000B5910" w:rsidRPr="00543B9C" w:rsidRDefault="00057F5C">
      <w:pPr>
        <w:tabs>
          <w:tab w:val="right" w:leader="dot" w:pos="9071"/>
        </w:tabs>
        <w:spacing w:after="60" w:line="252" w:lineRule="auto"/>
        <w:ind w:right="850"/>
        <w:rPr>
          <w:sz w:val="22"/>
        </w:rPr>
      </w:pPr>
      <w:r w:rsidRPr="00543B9C">
        <w:rPr>
          <w:color w:val="1A1A1A"/>
          <w:sz w:val="22"/>
        </w:rPr>
        <w:t>Biomarcadores no câncer de tireoide: uma revisão sistemática sobre aplicações diagnósticas e prognósticas</w:t>
      </w:r>
      <w:r w:rsidRPr="00543B9C">
        <w:rPr>
          <w:sz w:val="22"/>
        </w:rPr>
        <w:tab/>
      </w:r>
      <w:r w:rsidRPr="00543B9C">
        <w:rPr>
          <w:b/>
          <w:color w:val="1A1A1A"/>
          <w:sz w:val="22"/>
        </w:rPr>
        <w:t>132</w:t>
      </w:r>
    </w:p>
    <w:p w:rsidR="000B5910" w:rsidRPr="00543B9C" w:rsidRDefault="00057F5C">
      <w:pPr>
        <w:tabs>
          <w:tab w:val="right" w:leader="dot" w:pos="9071"/>
        </w:tabs>
        <w:spacing w:after="60" w:line="252" w:lineRule="auto"/>
        <w:ind w:right="850"/>
        <w:rPr>
          <w:sz w:val="22"/>
        </w:rPr>
      </w:pPr>
      <w:r w:rsidRPr="00543B9C">
        <w:rPr>
          <w:color w:val="1A1A1A"/>
          <w:sz w:val="22"/>
        </w:rPr>
        <w:t>Ablação por etanol de metástase nodal no carcinoma diferenciado de tireoide: uma revisão sistemática e meta-análise</w:t>
      </w:r>
      <w:r w:rsidRPr="00543B9C">
        <w:rPr>
          <w:sz w:val="22"/>
        </w:rPr>
        <w:tab/>
      </w:r>
      <w:r w:rsidRPr="00543B9C">
        <w:rPr>
          <w:b/>
          <w:color w:val="1A1A1A"/>
          <w:sz w:val="22"/>
        </w:rPr>
        <w:t>133</w:t>
      </w:r>
    </w:p>
    <w:p w:rsidR="000B5910" w:rsidRPr="00543B9C" w:rsidRDefault="00057F5C">
      <w:pPr>
        <w:tabs>
          <w:tab w:val="right" w:leader="dot" w:pos="9071"/>
        </w:tabs>
        <w:spacing w:after="60" w:line="252" w:lineRule="auto"/>
        <w:ind w:right="850"/>
        <w:rPr>
          <w:sz w:val="22"/>
        </w:rPr>
      </w:pPr>
      <w:r w:rsidRPr="00543B9C">
        <w:rPr>
          <w:color w:val="1A1A1A"/>
          <w:sz w:val="22"/>
        </w:rPr>
        <w:t>Exacerbação do quadro clínico de hipertireoidismo após punção aspirativa de nódulos tireoidianos: relato de caso</w:t>
      </w:r>
      <w:r w:rsidRPr="00543B9C">
        <w:rPr>
          <w:sz w:val="22"/>
        </w:rPr>
        <w:tab/>
      </w:r>
      <w:r w:rsidRPr="00543B9C">
        <w:rPr>
          <w:b/>
          <w:color w:val="1A1A1A"/>
          <w:sz w:val="22"/>
        </w:rPr>
        <w:t>134</w:t>
      </w:r>
    </w:p>
    <w:p w:rsidR="000B5910" w:rsidRPr="00543B9C" w:rsidRDefault="00057F5C">
      <w:pPr>
        <w:tabs>
          <w:tab w:val="right" w:leader="dot" w:pos="9071"/>
        </w:tabs>
        <w:spacing w:after="60" w:line="252" w:lineRule="auto"/>
        <w:ind w:right="850"/>
        <w:rPr>
          <w:sz w:val="22"/>
        </w:rPr>
      </w:pPr>
      <w:r w:rsidRPr="00543B9C">
        <w:rPr>
          <w:color w:val="1A1A1A"/>
          <w:sz w:val="22"/>
        </w:rPr>
        <w:t>Oftalmopatia grave na doença de Graves associada a hipertireoidismo refratário e intolerância ao tratamento medicamentoso: relato de caso</w:t>
      </w:r>
      <w:r w:rsidRPr="00543B9C">
        <w:rPr>
          <w:sz w:val="22"/>
        </w:rPr>
        <w:tab/>
      </w:r>
      <w:r w:rsidRPr="00543B9C">
        <w:rPr>
          <w:b/>
          <w:color w:val="1A1A1A"/>
          <w:sz w:val="22"/>
        </w:rPr>
        <w:t>135</w:t>
      </w:r>
    </w:p>
    <w:p w:rsidR="000B5910" w:rsidRPr="00543B9C" w:rsidRDefault="00057F5C">
      <w:pPr>
        <w:tabs>
          <w:tab w:val="right" w:leader="dot" w:pos="9071"/>
        </w:tabs>
        <w:spacing w:after="60" w:line="252" w:lineRule="auto"/>
        <w:ind w:right="850"/>
        <w:rPr>
          <w:sz w:val="22"/>
        </w:rPr>
      </w:pPr>
      <w:r w:rsidRPr="00543B9C">
        <w:rPr>
          <w:color w:val="1A1A1A"/>
          <w:sz w:val="22"/>
        </w:rPr>
        <w:lastRenderedPageBreak/>
        <w:t>Análise epidemiológica das internações por tireotoxicose no Brasil no período de 2010 a 2024</w:t>
      </w:r>
      <w:r w:rsidRPr="00543B9C">
        <w:rPr>
          <w:sz w:val="22"/>
        </w:rPr>
        <w:tab/>
      </w:r>
      <w:r w:rsidRPr="00543B9C">
        <w:rPr>
          <w:b/>
          <w:color w:val="1A1A1A"/>
          <w:sz w:val="22"/>
        </w:rPr>
        <w:t>136</w:t>
      </w:r>
    </w:p>
    <w:p w:rsidR="000B5910" w:rsidRPr="00543B9C" w:rsidRDefault="00057F5C">
      <w:pPr>
        <w:tabs>
          <w:tab w:val="right" w:leader="dot" w:pos="9071"/>
        </w:tabs>
        <w:spacing w:after="60" w:line="252" w:lineRule="auto"/>
        <w:ind w:right="850"/>
        <w:rPr>
          <w:sz w:val="22"/>
        </w:rPr>
      </w:pPr>
      <w:r w:rsidRPr="00543B9C">
        <w:rPr>
          <w:color w:val="1A1A1A"/>
          <w:sz w:val="22"/>
        </w:rPr>
        <w:t>Hipertiroxinemia com TSH normal em paciente em pré-operatório de cirurgia bariátrica: armadilha diagnóstica</w:t>
      </w:r>
      <w:r w:rsidRPr="00543B9C">
        <w:rPr>
          <w:sz w:val="22"/>
        </w:rPr>
        <w:tab/>
      </w:r>
      <w:r w:rsidRPr="00543B9C">
        <w:rPr>
          <w:b/>
          <w:color w:val="1A1A1A"/>
          <w:sz w:val="22"/>
        </w:rPr>
        <w:t>137</w:t>
      </w:r>
    </w:p>
    <w:p w:rsidR="000B5910" w:rsidRPr="00543B9C" w:rsidRDefault="00057F5C">
      <w:pPr>
        <w:tabs>
          <w:tab w:val="right" w:leader="dot" w:pos="9071"/>
        </w:tabs>
        <w:spacing w:after="60" w:line="252" w:lineRule="auto"/>
        <w:ind w:right="850"/>
        <w:rPr>
          <w:sz w:val="22"/>
        </w:rPr>
      </w:pPr>
      <w:r w:rsidRPr="00543B9C">
        <w:rPr>
          <w:color w:val="1A1A1A"/>
          <w:sz w:val="22"/>
        </w:rPr>
        <w:t>Diretrizes 2025 da ATA mudam a conduta? O impacto do novo alvo de TSH em um ambulatório especializado em tireoide</w:t>
      </w:r>
      <w:r w:rsidRPr="00543B9C">
        <w:rPr>
          <w:sz w:val="22"/>
        </w:rPr>
        <w:tab/>
      </w:r>
      <w:r w:rsidRPr="00543B9C">
        <w:rPr>
          <w:b/>
          <w:color w:val="1A1A1A"/>
          <w:sz w:val="22"/>
        </w:rPr>
        <w:t>138</w:t>
      </w:r>
    </w:p>
    <w:p w:rsidR="000B5910" w:rsidRPr="00543B9C" w:rsidRDefault="00057F5C">
      <w:pPr>
        <w:tabs>
          <w:tab w:val="right" w:leader="dot" w:pos="9071"/>
        </w:tabs>
        <w:spacing w:after="60" w:line="252" w:lineRule="auto"/>
        <w:ind w:right="850"/>
        <w:rPr>
          <w:sz w:val="22"/>
        </w:rPr>
      </w:pPr>
      <w:r w:rsidRPr="00543B9C">
        <w:rPr>
          <w:color w:val="1A1A1A"/>
          <w:sz w:val="22"/>
        </w:rPr>
        <w:t>Câncer de tireoide no Brasil: análise da distribuição regional, estadiamento e tratamento dos casos entre 2016-2026</w:t>
      </w:r>
      <w:r w:rsidRPr="00543B9C">
        <w:rPr>
          <w:sz w:val="22"/>
        </w:rPr>
        <w:tab/>
      </w:r>
      <w:r w:rsidRPr="00543B9C">
        <w:rPr>
          <w:b/>
          <w:color w:val="1A1A1A"/>
          <w:sz w:val="22"/>
        </w:rPr>
        <w:t>139</w:t>
      </w:r>
    </w:p>
    <w:p w:rsidR="000B5910" w:rsidRPr="00543B9C" w:rsidRDefault="00057F5C">
      <w:pPr>
        <w:tabs>
          <w:tab w:val="right" w:leader="dot" w:pos="9071"/>
        </w:tabs>
        <w:spacing w:after="60" w:line="252" w:lineRule="auto"/>
        <w:ind w:right="850"/>
        <w:rPr>
          <w:sz w:val="22"/>
        </w:rPr>
      </w:pPr>
      <w:r w:rsidRPr="00543B9C">
        <w:rPr>
          <w:color w:val="1A1A1A"/>
          <w:sz w:val="22"/>
        </w:rPr>
        <w:t>Expressão aumentada da desiodinase tipo 3 no cérebro em modelo animal de doença hepática esteatótica associada à disfunção metabólica</w:t>
      </w:r>
      <w:r w:rsidRPr="00543B9C">
        <w:rPr>
          <w:sz w:val="22"/>
        </w:rPr>
        <w:tab/>
      </w:r>
      <w:r w:rsidRPr="00543B9C">
        <w:rPr>
          <w:b/>
          <w:color w:val="1A1A1A"/>
          <w:sz w:val="22"/>
        </w:rPr>
        <w:t>140</w:t>
      </w:r>
    </w:p>
    <w:p w:rsidR="000B5910" w:rsidRPr="00543B9C" w:rsidRDefault="00057F5C">
      <w:pPr>
        <w:tabs>
          <w:tab w:val="right" w:leader="dot" w:pos="9071"/>
        </w:tabs>
        <w:spacing w:after="60" w:line="252" w:lineRule="auto"/>
        <w:ind w:right="850"/>
        <w:rPr>
          <w:sz w:val="22"/>
        </w:rPr>
      </w:pPr>
      <w:r w:rsidRPr="00543B9C">
        <w:rPr>
          <w:color w:val="1A1A1A"/>
          <w:sz w:val="22"/>
        </w:rPr>
        <w:t>Tendência temporal de hospitalizações e óbitos por Tireotoxicose no Brasil: análise nacional de 2008–2024</w:t>
      </w:r>
      <w:r w:rsidRPr="00543B9C">
        <w:rPr>
          <w:sz w:val="22"/>
        </w:rPr>
        <w:tab/>
      </w:r>
      <w:r w:rsidRPr="00543B9C">
        <w:rPr>
          <w:b/>
          <w:color w:val="1A1A1A"/>
          <w:sz w:val="22"/>
        </w:rPr>
        <w:t>141</w:t>
      </w:r>
    </w:p>
    <w:p w:rsidR="000B5910" w:rsidRPr="00543B9C" w:rsidRDefault="00057F5C">
      <w:pPr>
        <w:tabs>
          <w:tab w:val="right" w:leader="dot" w:pos="9071"/>
        </w:tabs>
        <w:spacing w:after="60" w:line="252" w:lineRule="auto"/>
        <w:ind w:right="850"/>
        <w:rPr>
          <w:sz w:val="22"/>
        </w:rPr>
      </w:pPr>
      <w:r w:rsidRPr="00543B9C">
        <w:rPr>
          <w:color w:val="1A1A1A"/>
          <w:sz w:val="22"/>
        </w:rPr>
        <w:t>Tratamento do câncer diferenciado de tireoide refratário ao radioiodo com inibidores multiquinase: desfechos de mundo real em centro terciário.</w:t>
      </w:r>
      <w:r w:rsidRPr="00543B9C">
        <w:rPr>
          <w:sz w:val="22"/>
        </w:rPr>
        <w:tab/>
      </w:r>
      <w:r w:rsidRPr="00543B9C">
        <w:rPr>
          <w:b/>
          <w:color w:val="1A1A1A"/>
          <w:sz w:val="22"/>
        </w:rPr>
        <w:t>142</w:t>
      </w:r>
    </w:p>
    <w:p w:rsidR="000B5910" w:rsidRPr="00543B9C" w:rsidRDefault="00057F5C">
      <w:pPr>
        <w:tabs>
          <w:tab w:val="right" w:leader="dot" w:pos="9071"/>
        </w:tabs>
        <w:spacing w:after="60" w:line="252" w:lineRule="auto"/>
        <w:ind w:right="850"/>
        <w:rPr>
          <w:sz w:val="22"/>
        </w:rPr>
      </w:pPr>
      <w:r w:rsidRPr="00543B9C">
        <w:rPr>
          <w:color w:val="1A1A1A"/>
          <w:sz w:val="22"/>
        </w:rPr>
        <w:t>Além do TSH: sensibilidade central ao hormônio tireoidiano como marcador oculto de doença hepática gordurosa em eutireoideos — uma revisão sistemática</w:t>
      </w:r>
      <w:r w:rsidRPr="00543B9C">
        <w:rPr>
          <w:sz w:val="22"/>
        </w:rPr>
        <w:tab/>
      </w:r>
      <w:r w:rsidRPr="00543B9C">
        <w:rPr>
          <w:b/>
          <w:color w:val="1A1A1A"/>
          <w:sz w:val="22"/>
        </w:rPr>
        <w:t>143</w:t>
      </w:r>
    </w:p>
    <w:p w:rsidR="000B5910" w:rsidRPr="00543B9C" w:rsidRDefault="00057F5C">
      <w:pPr>
        <w:tabs>
          <w:tab w:val="right" w:leader="dot" w:pos="9071"/>
        </w:tabs>
        <w:spacing w:after="60" w:line="252" w:lineRule="auto"/>
        <w:ind w:right="850"/>
        <w:rPr>
          <w:sz w:val="22"/>
        </w:rPr>
      </w:pPr>
      <w:r w:rsidRPr="00543B9C">
        <w:rPr>
          <w:color w:val="1A1A1A"/>
          <w:sz w:val="22"/>
        </w:rPr>
        <w:t>Observação ou cirurgia: uma nova ferramenta validada para lesões da tireoide</w:t>
      </w:r>
      <w:r w:rsidRPr="00543B9C">
        <w:rPr>
          <w:sz w:val="22"/>
        </w:rPr>
        <w:tab/>
      </w:r>
      <w:r w:rsidRPr="00543B9C">
        <w:rPr>
          <w:b/>
          <w:color w:val="1A1A1A"/>
          <w:sz w:val="22"/>
        </w:rPr>
        <w:t>144</w:t>
      </w:r>
    </w:p>
    <w:p w:rsidR="000B5910" w:rsidRPr="00543B9C" w:rsidRDefault="00057F5C">
      <w:pPr>
        <w:tabs>
          <w:tab w:val="right" w:leader="dot" w:pos="9071"/>
        </w:tabs>
        <w:spacing w:after="60" w:line="252" w:lineRule="auto"/>
        <w:ind w:right="850"/>
        <w:rPr>
          <w:sz w:val="22"/>
        </w:rPr>
      </w:pPr>
      <w:r w:rsidRPr="00543B9C">
        <w:rPr>
          <w:color w:val="1A1A1A"/>
          <w:sz w:val="22"/>
        </w:rPr>
        <w:t xml:space="preserve">Exposição Ao Bisfenol </w:t>
      </w:r>
      <w:proofErr w:type="gramStart"/>
      <w:r w:rsidRPr="00543B9C">
        <w:rPr>
          <w:color w:val="1A1A1A"/>
          <w:sz w:val="22"/>
        </w:rPr>
        <w:t>A</w:t>
      </w:r>
      <w:proofErr w:type="gramEnd"/>
      <w:r w:rsidRPr="00543B9C">
        <w:rPr>
          <w:color w:val="1A1A1A"/>
          <w:sz w:val="22"/>
        </w:rPr>
        <w:t xml:space="preserve"> E Ftalatos E Alterações Da Função Tireoidiana: Revisão Sistemática</w:t>
      </w:r>
      <w:r w:rsidRPr="00543B9C">
        <w:rPr>
          <w:sz w:val="22"/>
        </w:rPr>
        <w:tab/>
      </w:r>
      <w:r w:rsidRPr="00543B9C">
        <w:rPr>
          <w:b/>
          <w:color w:val="1A1A1A"/>
          <w:sz w:val="22"/>
        </w:rPr>
        <w:t>145</w:t>
      </w:r>
    </w:p>
    <w:p w:rsidR="000B5910" w:rsidRPr="00543B9C" w:rsidRDefault="00057F5C">
      <w:pPr>
        <w:tabs>
          <w:tab w:val="right" w:leader="dot" w:pos="9071"/>
        </w:tabs>
        <w:spacing w:after="60" w:line="252" w:lineRule="auto"/>
        <w:ind w:right="850"/>
        <w:rPr>
          <w:sz w:val="22"/>
        </w:rPr>
      </w:pPr>
      <w:r w:rsidRPr="00543B9C">
        <w:rPr>
          <w:color w:val="1A1A1A"/>
          <w:sz w:val="22"/>
        </w:rPr>
        <w:t>Carcinoma Papilar em Nódulo Hipercaptante na Síndrome de Marine-Lenhart: Relato de Caso</w:t>
      </w:r>
      <w:r w:rsidRPr="00543B9C">
        <w:rPr>
          <w:sz w:val="22"/>
        </w:rPr>
        <w:tab/>
      </w:r>
      <w:r w:rsidRPr="00543B9C">
        <w:rPr>
          <w:b/>
          <w:color w:val="1A1A1A"/>
          <w:sz w:val="22"/>
        </w:rPr>
        <w:t>146</w:t>
      </w:r>
    </w:p>
    <w:p w:rsidR="000B5910" w:rsidRPr="00543B9C" w:rsidRDefault="00057F5C">
      <w:pPr>
        <w:tabs>
          <w:tab w:val="right" w:leader="dot" w:pos="9071"/>
        </w:tabs>
        <w:spacing w:after="60" w:line="252" w:lineRule="auto"/>
        <w:ind w:right="850"/>
        <w:rPr>
          <w:sz w:val="22"/>
        </w:rPr>
      </w:pPr>
      <w:r w:rsidRPr="00543B9C">
        <w:rPr>
          <w:color w:val="1A1A1A"/>
          <w:sz w:val="22"/>
        </w:rPr>
        <w:t>Neoplasia Maligna da Tireoide no Brasil: uma análise nacional dos casos notificados entre 2014 e 2024</w:t>
      </w:r>
      <w:r w:rsidRPr="00543B9C">
        <w:rPr>
          <w:sz w:val="22"/>
        </w:rPr>
        <w:tab/>
      </w:r>
      <w:r w:rsidRPr="00543B9C">
        <w:rPr>
          <w:b/>
          <w:color w:val="1A1A1A"/>
          <w:sz w:val="22"/>
        </w:rPr>
        <w:t>147</w:t>
      </w:r>
    </w:p>
    <w:p w:rsidR="000B5910" w:rsidRDefault="000B5910">
      <w:pPr>
        <w:spacing w:before="160" w:after="80"/>
      </w:pPr>
    </w:p>
    <w:p w:rsidR="000B5910" w:rsidRPr="007020E5" w:rsidRDefault="00057F5C">
      <w:pPr>
        <w:spacing w:before="160" w:after="80"/>
        <w:rPr>
          <w:sz w:val="22"/>
        </w:rPr>
      </w:pPr>
      <w:r w:rsidRPr="007020E5">
        <w:rPr>
          <w:b/>
          <w:color w:val="1A1A1A"/>
          <w:sz w:val="22"/>
        </w:rPr>
        <w:t>OBESIDADE</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Estresse Ocupacional, Obesidade E Leptina Sérica Em Mulheres Trabalhadoras Em Turno</w:t>
      </w:r>
      <w:r w:rsidRPr="00543B9C">
        <w:rPr>
          <w:sz w:val="22"/>
          <w:szCs w:val="21"/>
        </w:rPr>
        <w:tab/>
      </w:r>
      <w:r w:rsidRPr="00543B9C">
        <w:rPr>
          <w:b/>
          <w:color w:val="1A1A1A"/>
          <w:sz w:val="22"/>
          <w:szCs w:val="21"/>
        </w:rPr>
        <w:t>148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 xml:space="preserve">Suplementação Com Azeite De Oliva Extravirgem: Um Potencial Modulador </w:t>
      </w:r>
      <w:proofErr w:type="gramStart"/>
      <w:r w:rsidRPr="00543B9C">
        <w:rPr>
          <w:color w:val="1A1A1A"/>
          <w:sz w:val="22"/>
          <w:szCs w:val="21"/>
        </w:rPr>
        <w:t>Da</w:t>
      </w:r>
      <w:proofErr w:type="gramEnd"/>
      <w:r w:rsidRPr="00543B9C">
        <w:rPr>
          <w:color w:val="1A1A1A"/>
          <w:sz w:val="22"/>
          <w:szCs w:val="21"/>
        </w:rPr>
        <w:t xml:space="preserve"> Inflamação Hipotalâmica Em Um Modelo De Obesidade Animal Induzida Por Dieta Rica Em Gordura</w:t>
      </w:r>
      <w:r w:rsidRPr="00543B9C">
        <w:rPr>
          <w:sz w:val="22"/>
          <w:szCs w:val="21"/>
        </w:rPr>
        <w:tab/>
      </w:r>
      <w:r w:rsidRPr="00543B9C">
        <w:rPr>
          <w:b/>
          <w:color w:val="1A1A1A"/>
          <w:sz w:val="22"/>
          <w:szCs w:val="21"/>
        </w:rPr>
        <w:t>149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Desfechos de Saúde em Crianças e Adolescentes com Sobrepeso ou Obesidade Expostos a Intervenções de Atividade Física: Uma Revisão Guarda-Chuva Abrangendo Mais de 1200 Ensaios</w:t>
      </w:r>
      <w:r w:rsidRPr="00543B9C">
        <w:rPr>
          <w:sz w:val="22"/>
          <w:szCs w:val="21"/>
        </w:rPr>
        <w:tab/>
      </w:r>
      <w:r w:rsidRPr="00543B9C">
        <w:rPr>
          <w:b/>
          <w:color w:val="1A1A1A"/>
          <w:sz w:val="22"/>
          <w:szCs w:val="21"/>
        </w:rPr>
        <w:t>150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Mudanças na autopercepção da qualidade da dieta predizem perda de peso após seis meses de aconselhamento nutricional: análise secundária de dois ensaios clínicos randomizados</w:t>
      </w:r>
      <w:r w:rsidRPr="00543B9C">
        <w:rPr>
          <w:sz w:val="22"/>
          <w:szCs w:val="21"/>
        </w:rPr>
        <w:tab/>
      </w:r>
      <w:r w:rsidRPr="00543B9C">
        <w:rPr>
          <w:b/>
          <w:color w:val="1A1A1A"/>
          <w:sz w:val="22"/>
          <w:szCs w:val="21"/>
        </w:rPr>
        <w:t>151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Agonistas incretínicos duais e sarcopenia em pacientes com diabetes tipo 2 e obesidade: efeitos da tirzepatida sobre a massa muscular.</w:t>
      </w:r>
      <w:r w:rsidRPr="00543B9C">
        <w:rPr>
          <w:sz w:val="22"/>
          <w:szCs w:val="21"/>
        </w:rPr>
        <w:tab/>
      </w:r>
      <w:r w:rsidRPr="00543B9C">
        <w:rPr>
          <w:b/>
          <w:color w:val="1A1A1A"/>
          <w:sz w:val="22"/>
          <w:szCs w:val="21"/>
        </w:rPr>
        <w:t>152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Prevalência de obesidade em adultos com Diabetes Mellitus Tipo 1 em um centro de referência em diabetes</w:t>
      </w:r>
      <w:r w:rsidRPr="00543B9C">
        <w:rPr>
          <w:sz w:val="22"/>
          <w:szCs w:val="21"/>
        </w:rPr>
        <w:tab/>
      </w:r>
      <w:r w:rsidRPr="00543B9C">
        <w:rPr>
          <w:b/>
          <w:color w:val="1A1A1A"/>
          <w:sz w:val="22"/>
          <w:szCs w:val="21"/>
        </w:rPr>
        <w:t>153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lastRenderedPageBreak/>
        <w:t>Internações Por Obesidade No Sistema Único De Saúde: Tendência Recente Na Região Sul Do Brasil (2023-2025)</w:t>
      </w:r>
      <w:r w:rsidRPr="00543B9C">
        <w:rPr>
          <w:sz w:val="22"/>
          <w:szCs w:val="21"/>
        </w:rPr>
        <w:tab/>
      </w:r>
      <w:r w:rsidRPr="00543B9C">
        <w:rPr>
          <w:b/>
          <w:color w:val="1A1A1A"/>
          <w:sz w:val="22"/>
          <w:szCs w:val="21"/>
        </w:rPr>
        <w:t>154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Dez Anos De Espera Pela Cirurgia Bariátrica No Sus: Análise De Uma Coorte De 722 Pacientes Do Rio Grande Do Sul (2015-2025)</w:t>
      </w:r>
      <w:r w:rsidRPr="00543B9C">
        <w:rPr>
          <w:sz w:val="22"/>
          <w:szCs w:val="21"/>
        </w:rPr>
        <w:tab/>
      </w:r>
      <w:r w:rsidRPr="00543B9C">
        <w:rPr>
          <w:b/>
          <w:color w:val="1A1A1A"/>
          <w:sz w:val="22"/>
          <w:szCs w:val="21"/>
        </w:rPr>
        <w:t>155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Agonistas de GLP-1 e modulação do sistema de recompensa na obesidade: uma revisão sistemática.</w:t>
      </w:r>
      <w:r w:rsidRPr="00543B9C">
        <w:rPr>
          <w:sz w:val="22"/>
          <w:szCs w:val="21"/>
        </w:rPr>
        <w:tab/>
      </w:r>
      <w:r w:rsidRPr="00543B9C">
        <w:rPr>
          <w:b/>
          <w:color w:val="1A1A1A"/>
          <w:sz w:val="22"/>
          <w:szCs w:val="21"/>
        </w:rPr>
        <w:t>156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Carga de hospitalizações por obesidade na região Sul do Brasil: análise epidemiológica de 55 mil internações entre 2015 e 2025</w:t>
      </w:r>
      <w:r w:rsidRPr="00543B9C">
        <w:rPr>
          <w:sz w:val="22"/>
          <w:szCs w:val="21"/>
        </w:rPr>
        <w:tab/>
      </w:r>
      <w:r w:rsidRPr="00543B9C">
        <w:rPr>
          <w:b/>
          <w:color w:val="1A1A1A"/>
          <w:sz w:val="22"/>
          <w:szCs w:val="21"/>
        </w:rPr>
        <w:t>157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Internalização do estigma de peso associada ao sofrimento mental e à ideação suicida em adultos com obesidade na atenção primária: estudo transversal</w:t>
      </w:r>
      <w:r w:rsidRPr="00543B9C">
        <w:rPr>
          <w:sz w:val="22"/>
          <w:szCs w:val="21"/>
        </w:rPr>
        <w:tab/>
      </w:r>
      <w:r w:rsidRPr="00543B9C">
        <w:rPr>
          <w:b/>
          <w:color w:val="1A1A1A"/>
          <w:sz w:val="22"/>
          <w:szCs w:val="21"/>
        </w:rPr>
        <w:t>158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Distorção da imagem corporal e internalização do estigma de peso em indivíduos com obesidade na atenção primária</w:t>
      </w:r>
      <w:r w:rsidRPr="00543B9C">
        <w:rPr>
          <w:sz w:val="22"/>
          <w:szCs w:val="21"/>
        </w:rPr>
        <w:tab/>
      </w:r>
      <w:r w:rsidRPr="00543B9C">
        <w:rPr>
          <w:b/>
          <w:color w:val="1A1A1A"/>
          <w:sz w:val="22"/>
          <w:szCs w:val="21"/>
        </w:rPr>
        <w:t>159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Percepção de pressão para perda de peso entre usuários de agonistas do receptor de GLP-1 no Brasil: um estudo transversal</w:t>
      </w:r>
      <w:r w:rsidRPr="00543B9C">
        <w:rPr>
          <w:sz w:val="22"/>
          <w:szCs w:val="21"/>
        </w:rPr>
        <w:tab/>
      </w:r>
      <w:r w:rsidRPr="00543B9C">
        <w:rPr>
          <w:b/>
          <w:color w:val="1A1A1A"/>
          <w:sz w:val="22"/>
          <w:szCs w:val="21"/>
        </w:rPr>
        <w:t>160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Álcool e Cirurgia Bariátrica: Avaliação do conhecimento, aconselhamento pré-operatório e risco de uso nocivo</w:t>
      </w:r>
      <w:r w:rsidRPr="00543B9C">
        <w:rPr>
          <w:sz w:val="22"/>
          <w:szCs w:val="21"/>
        </w:rPr>
        <w:tab/>
      </w:r>
      <w:r w:rsidRPr="00543B9C">
        <w:rPr>
          <w:b/>
          <w:color w:val="1A1A1A"/>
          <w:sz w:val="22"/>
          <w:szCs w:val="21"/>
        </w:rPr>
        <w:t>161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Intervenção Nutricional Com Azeite De Oliva Extravirgem Reduz Neuroinflamação E Fenótipo Depressivo Em Modelo De Obesidade Experimental</w:t>
      </w:r>
      <w:r w:rsidRPr="00543B9C">
        <w:rPr>
          <w:sz w:val="22"/>
          <w:szCs w:val="21"/>
        </w:rPr>
        <w:tab/>
      </w:r>
      <w:r w:rsidRPr="00543B9C">
        <w:rPr>
          <w:b/>
          <w:color w:val="1A1A1A"/>
          <w:sz w:val="22"/>
          <w:szCs w:val="21"/>
        </w:rPr>
        <w:t>162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Ação Antioxidante Do Azeite De Oliva Extravirgem No Córtex Pré-Frontal E Seus Efeitos Cognitivos Em Modelo Experimental De Obesidade</w:t>
      </w:r>
      <w:r w:rsidRPr="00543B9C">
        <w:rPr>
          <w:sz w:val="22"/>
          <w:szCs w:val="21"/>
        </w:rPr>
        <w:tab/>
      </w:r>
      <w:r w:rsidRPr="00543B9C">
        <w:rPr>
          <w:b/>
          <w:color w:val="1A1A1A"/>
          <w:sz w:val="22"/>
          <w:szCs w:val="21"/>
        </w:rPr>
        <w:t>163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 xml:space="preserve">Obesidade No Brasil (2012–2025): O Avanço </w:t>
      </w:r>
      <w:proofErr w:type="gramStart"/>
      <w:r w:rsidRPr="00543B9C">
        <w:rPr>
          <w:color w:val="1A1A1A"/>
          <w:sz w:val="22"/>
          <w:szCs w:val="21"/>
        </w:rPr>
        <w:t>Das</w:t>
      </w:r>
      <w:proofErr w:type="gramEnd"/>
      <w:r w:rsidRPr="00543B9C">
        <w:rPr>
          <w:color w:val="1A1A1A"/>
          <w:sz w:val="22"/>
          <w:szCs w:val="21"/>
        </w:rPr>
        <w:t xml:space="preserve"> Internações E A Sobrecarga Do Sistema De Saúde</w:t>
      </w:r>
      <w:r w:rsidRPr="00543B9C">
        <w:rPr>
          <w:sz w:val="22"/>
          <w:szCs w:val="21"/>
        </w:rPr>
        <w:tab/>
      </w:r>
      <w:r w:rsidRPr="00543B9C">
        <w:rPr>
          <w:b/>
          <w:color w:val="1A1A1A"/>
          <w:sz w:val="22"/>
          <w:szCs w:val="21"/>
        </w:rPr>
        <w:t>164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Efetividade Dos Agonistas Do Receptor Do Peptídeo Semelhante Ao Glucagon Tipo 1 Obtidos Por Ação Judicial Em Ambulatório Clínico De Obesidade No Sus</w:t>
      </w:r>
      <w:r w:rsidRPr="00543B9C">
        <w:rPr>
          <w:sz w:val="22"/>
          <w:szCs w:val="21"/>
        </w:rPr>
        <w:tab/>
      </w:r>
      <w:r w:rsidRPr="00543B9C">
        <w:rPr>
          <w:b/>
          <w:color w:val="1A1A1A"/>
          <w:sz w:val="22"/>
          <w:szCs w:val="21"/>
        </w:rPr>
        <w:t>165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Eficácia e Segurança dos Análogos de GLP-1 em Crianças (6-12 anos) vs. Adolescentes: Uma Revisão Sistemática.</w:t>
      </w:r>
      <w:r w:rsidRPr="00543B9C">
        <w:rPr>
          <w:sz w:val="22"/>
          <w:szCs w:val="21"/>
        </w:rPr>
        <w:tab/>
      </w:r>
      <w:r w:rsidRPr="00543B9C">
        <w:rPr>
          <w:b/>
          <w:color w:val="1A1A1A"/>
          <w:sz w:val="22"/>
          <w:szCs w:val="21"/>
        </w:rPr>
        <w:t>166</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Evolução da Prevalência de Obesidade e Desfechos Associados em Idosos Hospitalizados: Uma Análise Comparativa entre 2019 e 2025.</w:t>
      </w:r>
      <w:r w:rsidRPr="00543B9C">
        <w:rPr>
          <w:sz w:val="22"/>
          <w:szCs w:val="21"/>
        </w:rPr>
        <w:tab/>
      </w:r>
      <w:r w:rsidRPr="00543B9C">
        <w:rPr>
          <w:b/>
          <w:color w:val="1A1A1A"/>
          <w:sz w:val="22"/>
          <w:szCs w:val="21"/>
        </w:rPr>
        <w:t>167</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Invisibilidade da Obesidade como Doença: Estudo Comparativo de Registros em Prontuários Eletrônicos (2019 vs. 2025)</w:t>
      </w:r>
      <w:r w:rsidRPr="00543B9C">
        <w:rPr>
          <w:sz w:val="22"/>
          <w:szCs w:val="21"/>
        </w:rPr>
        <w:tab/>
      </w:r>
      <w:r w:rsidRPr="00543B9C">
        <w:rPr>
          <w:b/>
          <w:color w:val="1A1A1A"/>
          <w:sz w:val="22"/>
          <w:szCs w:val="21"/>
        </w:rPr>
        <w:t>168</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Eficácia e Segurança de Agonistas do Receptor de GLP-1 e do Coagonista GLP-1/GIP no Tratamento da Obesidade: Uma Revisão Sistemática</w:t>
      </w:r>
      <w:r w:rsidRPr="00543B9C">
        <w:rPr>
          <w:sz w:val="22"/>
          <w:szCs w:val="21"/>
        </w:rPr>
        <w:tab/>
      </w:r>
      <w:r w:rsidRPr="00543B9C">
        <w:rPr>
          <w:b/>
          <w:color w:val="1A1A1A"/>
          <w:sz w:val="22"/>
          <w:szCs w:val="21"/>
        </w:rPr>
        <w:t>169</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Desigualdades regionais na realização de cirurgia bariátrica pelo SUS no Brasil: análise temporal de 2015 a 2025</w:t>
      </w:r>
      <w:r w:rsidRPr="00543B9C">
        <w:rPr>
          <w:sz w:val="22"/>
          <w:szCs w:val="21"/>
        </w:rPr>
        <w:tab/>
      </w:r>
      <w:r w:rsidRPr="00543B9C">
        <w:rPr>
          <w:b/>
          <w:color w:val="1A1A1A"/>
          <w:sz w:val="22"/>
          <w:szCs w:val="21"/>
        </w:rPr>
        <w:t>170</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Disparidades e Retomada Pós-Pandêmica: Análise das Cirurgias Bariátricas e Internações por Obesidade no SUS na Região Sul do Brasil de 2015 a 2025</w:t>
      </w:r>
      <w:r w:rsidRPr="00543B9C">
        <w:rPr>
          <w:sz w:val="22"/>
          <w:szCs w:val="21"/>
        </w:rPr>
        <w:tab/>
      </w:r>
      <w:r w:rsidRPr="00543B9C">
        <w:rPr>
          <w:b/>
          <w:color w:val="1A1A1A"/>
          <w:sz w:val="22"/>
          <w:szCs w:val="21"/>
        </w:rPr>
        <w:t>171</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Uso de Tirzepatida Contrabandeada e Intoxicação por Vitamina D Causando Distúrbios Eletrolíticos Graves: Um Relato de Caso</w:t>
      </w:r>
      <w:r w:rsidRPr="00543B9C">
        <w:rPr>
          <w:sz w:val="22"/>
          <w:szCs w:val="21"/>
        </w:rPr>
        <w:tab/>
      </w:r>
      <w:r w:rsidRPr="00543B9C">
        <w:rPr>
          <w:b/>
          <w:color w:val="1A1A1A"/>
          <w:sz w:val="22"/>
          <w:szCs w:val="21"/>
        </w:rPr>
        <w:t>172</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Uso de semaglutida sem indicação clínica formal para perda de peso: prevalência e fatores associados</w:t>
      </w:r>
      <w:r w:rsidRPr="00543B9C">
        <w:rPr>
          <w:sz w:val="22"/>
          <w:szCs w:val="21"/>
        </w:rPr>
        <w:tab/>
      </w:r>
      <w:r w:rsidRPr="00543B9C">
        <w:rPr>
          <w:b/>
          <w:color w:val="1A1A1A"/>
          <w:sz w:val="22"/>
          <w:szCs w:val="21"/>
        </w:rPr>
        <w:t>173</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Doenças oculares crônicas associadas ao uso de semaglutida: revisão sistemática com metanálise</w:t>
      </w:r>
      <w:r w:rsidRPr="00543B9C">
        <w:rPr>
          <w:sz w:val="22"/>
          <w:szCs w:val="21"/>
        </w:rPr>
        <w:tab/>
      </w:r>
      <w:r w:rsidRPr="00543B9C">
        <w:rPr>
          <w:b/>
          <w:color w:val="1A1A1A"/>
          <w:sz w:val="22"/>
          <w:szCs w:val="21"/>
        </w:rPr>
        <w:t>174</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t>Associação entre obesidade sarcopênica e risco cardiometabólico em adultos: Uma revisão sistemática</w:t>
      </w:r>
      <w:r w:rsidRPr="00543B9C">
        <w:rPr>
          <w:sz w:val="22"/>
          <w:szCs w:val="21"/>
        </w:rPr>
        <w:tab/>
      </w:r>
      <w:r w:rsidRPr="00543B9C">
        <w:rPr>
          <w:b/>
          <w:color w:val="1A1A1A"/>
          <w:sz w:val="22"/>
          <w:szCs w:val="21"/>
        </w:rPr>
        <w:t>175</w:t>
      </w:r>
    </w:p>
    <w:p w:rsidR="000B5910" w:rsidRPr="00543B9C" w:rsidRDefault="00057F5C">
      <w:pPr>
        <w:tabs>
          <w:tab w:val="right" w:leader="dot" w:pos="9071"/>
        </w:tabs>
        <w:spacing w:after="60" w:line="252" w:lineRule="auto"/>
        <w:ind w:right="850"/>
        <w:rPr>
          <w:sz w:val="22"/>
          <w:szCs w:val="21"/>
        </w:rPr>
      </w:pPr>
      <w:r w:rsidRPr="00543B9C">
        <w:rPr>
          <w:color w:val="1A1A1A"/>
          <w:sz w:val="22"/>
          <w:szCs w:val="21"/>
        </w:rPr>
        <w:lastRenderedPageBreak/>
        <w:t>Análise da tendência temporal das internações hospitalares por obesidade no Rio Grande do Sul, Brasil, entre 2020 e 2025</w:t>
      </w:r>
      <w:r w:rsidRPr="00543B9C">
        <w:rPr>
          <w:sz w:val="22"/>
          <w:szCs w:val="21"/>
        </w:rPr>
        <w:tab/>
      </w:r>
      <w:r w:rsidRPr="00543B9C">
        <w:rPr>
          <w:b/>
          <w:color w:val="1A1A1A"/>
          <w:sz w:val="22"/>
          <w:szCs w:val="21"/>
        </w:rPr>
        <w:t>176</w:t>
      </w:r>
    </w:p>
    <w:p w:rsidR="000B5910" w:rsidRDefault="000B5910">
      <w:pPr>
        <w:spacing w:before="160" w:after="80"/>
      </w:pPr>
    </w:p>
    <w:p w:rsidR="000B5910" w:rsidRDefault="000B5910">
      <w:pPr>
        <w:spacing w:before="160" w:after="80"/>
      </w:pPr>
    </w:p>
    <w:p w:rsidR="000B5910" w:rsidRDefault="000B5910">
      <w:pPr>
        <w:spacing w:before="160" w:after="80"/>
      </w:pPr>
    </w:p>
    <w:p w:rsidR="000B5910" w:rsidRPr="007020E5" w:rsidRDefault="00057F5C">
      <w:pPr>
        <w:spacing w:before="160" w:after="80"/>
        <w:rPr>
          <w:b/>
          <w:bCs/>
          <w:color w:val="1A1A1A"/>
          <w:sz w:val="22"/>
        </w:rPr>
      </w:pPr>
      <w:r w:rsidRPr="007020E5">
        <w:rPr>
          <w:b/>
          <w:color w:val="1A1A1A"/>
          <w:sz w:val="22"/>
        </w:rPr>
        <w:t>OUTROS</w:t>
      </w:r>
    </w:p>
    <w:p w:rsidR="000B5910" w:rsidRDefault="000B5910">
      <w:pPr>
        <w:spacing w:before="160" w:after="80"/>
        <w:rPr>
          <w:b/>
          <w:bCs/>
          <w:color w:val="1A1A1A"/>
          <w:sz w:val="24"/>
          <w:szCs w:val="24"/>
        </w:rPr>
      </w:pPr>
    </w:p>
    <w:p w:rsidR="000B5910" w:rsidRPr="00543B9C" w:rsidRDefault="00057F5C">
      <w:pPr>
        <w:tabs>
          <w:tab w:val="right" w:leader="dot" w:pos="9071"/>
        </w:tabs>
        <w:spacing w:after="60" w:line="252" w:lineRule="auto"/>
        <w:ind w:right="850"/>
        <w:rPr>
          <w:sz w:val="22"/>
        </w:rPr>
      </w:pPr>
      <w:r w:rsidRPr="00543B9C">
        <w:rPr>
          <w:color w:val="1A1A1A"/>
          <w:sz w:val="22"/>
        </w:rPr>
        <w:t xml:space="preserve">Eficácia Da Semaglutida Nos Desfechos Hepáticos </w:t>
      </w:r>
      <w:proofErr w:type="gramStart"/>
      <w:r w:rsidRPr="00543B9C">
        <w:rPr>
          <w:color w:val="1A1A1A"/>
          <w:sz w:val="22"/>
        </w:rPr>
        <w:t>Da</w:t>
      </w:r>
      <w:proofErr w:type="gramEnd"/>
      <w:r w:rsidRPr="00543B9C">
        <w:rPr>
          <w:color w:val="1A1A1A"/>
          <w:sz w:val="22"/>
        </w:rPr>
        <w:t xml:space="preserve"> Doença Hepática Esteatótica Associada A Disfunção Metabólica: Revisão Sistemática</w:t>
      </w:r>
      <w:r w:rsidRPr="00543B9C">
        <w:rPr>
          <w:sz w:val="22"/>
        </w:rPr>
        <w:tab/>
      </w:r>
      <w:r w:rsidRPr="00543B9C">
        <w:rPr>
          <w:b/>
          <w:color w:val="1A1A1A"/>
          <w:sz w:val="22"/>
        </w:rPr>
        <w:t>177</w:t>
      </w:r>
    </w:p>
    <w:p w:rsidR="000B5910" w:rsidRPr="00543B9C" w:rsidRDefault="00057F5C">
      <w:pPr>
        <w:tabs>
          <w:tab w:val="right" w:leader="dot" w:pos="9071"/>
        </w:tabs>
        <w:spacing w:after="60" w:line="252" w:lineRule="auto"/>
        <w:ind w:right="850"/>
        <w:rPr>
          <w:sz w:val="22"/>
        </w:rPr>
      </w:pPr>
      <w:r w:rsidRPr="00543B9C">
        <w:rPr>
          <w:color w:val="1A1A1A"/>
          <w:sz w:val="22"/>
        </w:rPr>
        <w:t>Prevalência e perfil do uso não supervisionado de terapia hormonal de afirmação de gênero (THAG) em indivíduos trans antes do acesso a serviço especializado</w:t>
      </w:r>
      <w:r w:rsidRPr="00543B9C">
        <w:rPr>
          <w:sz w:val="22"/>
        </w:rPr>
        <w:tab/>
      </w:r>
      <w:r w:rsidRPr="00543B9C">
        <w:rPr>
          <w:b/>
          <w:color w:val="1A1A1A"/>
          <w:sz w:val="22"/>
        </w:rPr>
        <w:t>178</w:t>
      </w:r>
    </w:p>
    <w:p w:rsidR="000B5910" w:rsidRPr="00543B9C" w:rsidRDefault="00057F5C">
      <w:pPr>
        <w:tabs>
          <w:tab w:val="right" w:leader="dot" w:pos="9071"/>
        </w:tabs>
        <w:spacing w:after="60" w:line="252" w:lineRule="auto"/>
        <w:ind w:right="850"/>
        <w:rPr>
          <w:sz w:val="22"/>
        </w:rPr>
      </w:pPr>
      <w:r w:rsidRPr="00543B9C">
        <w:rPr>
          <w:color w:val="1A1A1A"/>
          <w:sz w:val="22"/>
        </w:rPr>
        <w:t>Lipodistrofia Generalizada Congênita sem variante patogênica detectável: desafio diagnóstico e molecular</w:t>
      </w:r>
      <w:r w:rsidRPr="00543B9C">
        <w:rPr>
          <w:sz w:val="22"/>
        </w:rPr>
        <w:tab/>
      </w:r>
      <w:r w:rsidRPr="00543B9C">
        <w:rPr>
          <w:b/>
          <w:color w:val="1A1A1A"/>
          <w:sz w:val="22"/>
        </w:rPr>
        <w:t>179</w:t>
      </w:r>
    </w:p>
    <w:p w:rsidR="000B5910" w:rsidRPr="00543B9C" w:rsidRDefault="00057F5C">
      <w:pPr>
        <w:tabs>
          <w:tab w:val="right" w:leader="dot" w:pos="9071"/>
        </w:tabs>
        <w:spacing w:after="60" w:line="252" w:lineRule="auto"/>
        <w:ind w:right="850"/>
        <w:rPr>
          <w:sz w:val="22"/>
        </w:rPr>
      </w:pPr>
      <w:r w:rsidRPr="00543B9C">
        <w:rPr>
          <w:color w:val="1A1A1A"/>
          <w:sz w:val="22"/>
        </w:rPr>
        <w:t>Efeitos do exercício físico sobre o Fator neurotrófico derivado do cérebro (Brain- Derived Neurotrophic Factor) e parâmetros cardiometabólicos em adultos com doenças metabólicas: revisão sistemática.</w:t>
      </w:r>
      <w:r w:rsidRPr="00543B9C">
        <w:rPr>
          <w:sz w:val="22"/>
        </w:rPr>
        <w:tab/>
      </w:r>
      <w:r w:rsidRPr="00543B9C">
        <w:rPr>
          <w:b/>
          <w:color w:val="1A1A1A"/>
          <w:sz w:val="22"/>
        </w:rPr>
        <w:t>180</w:t>
      </w:r>
    </w:p>
    <w:p w:rsidR="000B5910" w:rsidRPr="00543B9C" w:rsidRDefault="00057F5C">
      <w:pPr>
        <w:tabs>
          <w:tab w:val="right" w:leader="dot" w:pos="9071"/>
        </w:tabs>
        <w:spacing w:after="60" w:line="252" w:lineRule="auto"/>
        <w:ind w:right="850"/>
        <w:rPr>
          <w:sz w:val="22"/>
        </w:rPr>
      </w:pPr>
      <w:r w:rsidRPr="00543B9C">
        <w:rPr>
          <w:color w:val="1A1A1A"/>
          <w:sz w:val="22"/>
        </w:rPr>
        <w:t>Internações por Transtornos Endócrinos, Nutricionais e Metabólicos Raros no Brasil e no Rio Grande do Sul no Período Pós-Pandemia (2015–2025): Uma Análise Epidemiológica e Hipóteses a partir de Dados do SIH-SUS</w:t>
      </w:r>
      <w:r w:rsidRPr="00543B9C">
        <w:rPr>
          <w:sz w:val="22"/>
        </w:rPr>
        <w:tab/>
      </w:r>
      <w:r w:rsidRPr="00543B9C">
        <w:rPr>
          <w:b/>
          <w:color w:val="1A1A1A"/>
          <w:sz w:val="22"/>
        </w:rPr>
        <w:t>181</w:t>
      </w:r>
    </w:p>
    <w:p w:rsidR="000B5910" w:rsidRPr="00543B9C" w:rsidRDefault="00057F5C">
      <w:pPr>
        <w:tabs>
          <w:tab w:val="right" w:leader="dot" w:pos="9071"/>
        </w:tabs>
        <w:spacing w:after="60" w:line="252" w:lineRule="auto"/>
        <w:ind w:right="850"/>
        <w:rPr>
          <w:sz w:val="22"/>
        </w:rPr>
      </w:pPr>
      <w:r w:rsidRPr="00543B9C">
        <w:rPr>
          <w:color w:val="1A1A1A"/>
          <w:sz w:val="22"/>
        </w:rPr>
        <w:t>Comparação dos efeitos de probióticos, prebióticos e simbióticos no controle metabólico e inflamatório em adultos com síndrome metabólica: uma revisão sistemática</w:t>
      </w:r>
      <w:r w:rsidRPr="00543B9C">
        <w:rPr>
          <w:sz w:val="22"/>
        </w:rPr>
        <w:tab/>
      </w:r>
      <w:r w:rsidRPr="00543B9C">
        <w:rPr>
          <w:b/>
          <w:color w:val="1A1A1A"/>
          <w:sz w:val="22"/>
        </w:rPr>
        <w:t>182</w:t>
      </w:r>
    </w:p>
    <w:p w:rsidR="000B5910" w:rsidRPr="00543B9C" w:rsidRDefault="00057F5C">
      <w:pPr>
        <w:tabs>
          <w:tab w:val="right" w:leader="dot" w:pos="9071"/>
        </w:tabs>
        <w:spacing w:after="60" w:line="252" w:lineRule="auto"/>
        <w:ind w:right="850"/>
        <w:rPr>
          <w:sz w:val="22"/>
        </w:rPr>
      </w:pPr>
      <w:r w:rsidRPr="00543B9C">
        <w:rPr>
          <w:color w:val="1A1A1A"/>
          <w:sz w:val="22"/>
        </w:rPr>
        <w:t>Síndrome de Cushing: decorrência por uso de suplemento importado contaminado</w:t>
      </w:r>
      <w:r w:rsidRPr="00543B9C">
        <w:rPr>
          <w:sz w:val="22"/>
        </w:rPr>
        <w:tab/>
      </w:r>
      <w:r w:rsidRPr="00543B9C">
        <w:rPr>
          <w:b/>
          <w:color w:val="1A1A1A"/>
          <w:sz w:val="22"/>
        </w:rPr>
        <w:t>183</w:t>
      </w:r>
    </w:p>
    <w:p w:rsidR="000B5910" w:rsidRPr="00543B9C" w:rsidRDefault="00057F5C">
      <w:pPr>
        <w:tabs>
          <w:tab w:val="right" w:leader="dot" w:pos="9071"/>
        </w:tabs>
        <w:spacing w:after="60" w:line="252" w:lineRule="auto"/>
        <w:ind w:right="850"/>
        <w:rPr>
          <w:sz w:val="22"/>
        </w:rPr>
      </w:pPr>
      <w:r w:rsidRPr="00543B9C">
        <w:rPr>
          <w:color w:val="1A1A1A"/>
          <w:sz w:val="22"/>
        </w:rPr>
        <w:t>Tumor Atípico de Paratireoide Simulando Carcinoma: Relato de Caso</w:t>
      </w:r>
      <w:r w:rsidRPr="00543B9C">
        <w:rPr>
          <w:sz w:val="22"/>
        </w:rPr>
        <w:tab/>
      </w:r>
      <w:r w:rsidRPr="00543B9C">
        <w:rPr>
          <w:b/>
          <w:color w:val="1A1A1A"/>
          <w:sz w:val="22"/>
        </w:rPr>
        <w:t>184</w:t>
      </w:r>
    </w:p>
    <w:p w:rsidR="000B5910" w:rsidRPr="00543B9C" w:rsidRDefault="00057F5C">
      <w:pPr>
        <w:tabs>
          <w:tab w:val="right" w:leader="dot" w:pos="9071"/>
        </w:tabs>
        <w:spacing w:after="60" w:line="252" w:lineRule="auto"/>
        <w:ind w:right="850"/>
        <w:rPr>
          <w:sz w:val="22"/>
        </w:rPr>
      </w:pPr>
      <w:r w:rsidRPr="00543B9C">
        <w:rPr>
          <w:color w:val="1A1A1A"/>
          <w:sz w:val="22"/>
        </w:rPr>
        <w:t>Seminoma primário de mediastino com marcadores tumorais negativos e ultrassonografia testicular normal: abordagem diagnóstica com enfoque endocrinológico</w:t>
      </w:r>
      <w:r w:rsidRPr="00543B9C">
        <w:rPr>
          <w:sz w:val="22"/>
        </w:rPr>
        <w:tab/>
      </w:r>
      <w:r w:rsidRPr="00543B9C">
        <w:rPr>
          <w:b/>
          <w:color w:val="1A1A1A"/>
          <w:sz w:val="22"/>
        </w:rPr>
        <w:t>185</w:t>
      </w:r>
    </w:p>
    <w:p w:rsidR="000B5910" w:rsidRPr="00543B9C" w:rsidRDefault="00057F5C">
      <w:pPr>
        <w:tabs>
          <w:tab w:val="right" w:leader="dot" w:pos="9071"/>
        </w:tabs>
        <w:spacing w:after="60" w:line="252" w:lineRule="auto"/>
        <w:ind w:right="850"/>
        <w:rPr>
          <w:sz w:val="22"/>
        </w:rPr>
      </w:pPr>
      <w:r w:rsidRPr="00543B9C">
        <w:rPr>
          <w:color w:val="1A1A1A"/>
          <w:sz w:val="22"/>
        </w:rPr>
        <w:t>Impacto do acompanhamento ambulatorial especializado na melhora de sintomas de ansiedade e depressão em pacientes transgênero e cisgênero</w:t>
      </w:r>
      <w:r w:rsidRPr="00543B9C">
        <w:rPr>
          <w:sz w:val="22"/>
        </w:rPr>
        <w:tab/>
      </w:r>
      <w:r w:rsidRPr="00543B9C">
        <w:rPr>
          <w:b/>
          <w:color w:val="1A1A1A"/>
          <w:sz w:val="22"/>
        </w:rPr>
        <w:t>186</w:t>
      </w:r>
    </w:p>
    <w:p w:rsidR="000B5910" w:rsidRDefault="000B5910">
      <w:pPr>
        <w:sectPr w:rsidR="000B591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ABORDAGEM CIRÚRGICA EM RARA APRESENTAÇÃO DE MIELOLIPOMAS ADRENAIS BILATERAIS</w:t>
      </w:r>
    </w:p>
    <w:p w:rsidR="000B5910" w:rsidRPr="00543B9C" w:rsidRDefault="00057F5C">
      <w:pPr>
        <w:spacing w:after="40" w:line="252" w:lineRule="auto"/>
        <w:jc w:val="right"/>
        <w:rPr>
          <w:szCs w:val="21"/>
        </w:rPr>
      </w:pPr>
      <w:r w:rsidRPr="00543B9C">
        <w:rPr>
          <w:color w:val="1A1A1A"/>
          <w:szCs w:val="21"/>
        </w:rPr>
        <w:t>Matheus Nejar Coan</w:t>
      </w:r>
      <w:r w:rsidRPr="00543B9C">
        <w:rPr>
          <w:color w:val="1A1A1A"/>
          <w:szCs w:val="21"/>
          <w:vertAlign w:val="superscript"/>
        </w:rPr>
        <w:t>1</w:t>
      </w:r>
      <w:r w:rsidRPr="00543B9C">
        <w:rPr>
          <w:szCs w:val="21"/>
        </w:rPr>
        <w:br/>
      </w:r>
      <w:r w:rsidRPr="00543B9C">
        <w:rPr>
          <w:color w:val="1A1A1A"/>
          <w:szCs w:val="21"/>
        </w:rPr>
        <w:t>Diego Paixão Côrtes Aguiar</w:t>
      </w:r>
      <w:r w:rsidRPr="00543B9C">
        <w:rPr>
          <w:color w:val="1A1A1A"/>
          <w:szCs w:val="21"/>
          <w:vertAlign w:val="superscript"/>
        </w:rPr>
        <w:t>2</w:t>
      </w:r>
      <w:r w:rsidRPr="00543B9C">
        <w:rPr>
          <w:szCs w:val="21"/>
        </w:rPr>
        <w:br/>
      </w:r>
      <w:r w:rsidRPr="00543B9C">
        <w:rPr>
          <w:color w:val="1A1A1A"/>
          <w:szCs w:val="21"/>
        </w:rPr>
        <w:t>Júlia Fernanda Semmelmann Pereira Lima</w:t>
      </w:r>
      <w:r w:rsidRPr="00543B9C">
        <w:rPr>
          <w:color w:val="1A1A1A"/>
          <w:szCs w:val="21"/>
          <w:vertAlign w:val="superscript"/>
        </w:rPr>
        <w:t>1</w:t>
      </w:r>
      <w:r w:rsidRPr="00543B9C">
        <w:rPr>
          <w:szCs w:val="21"/>
        </w:rPr>
        <w:br/>
      </w:r>
      <w:r w:rsidRPr="00543B9C">
        <w:rPr>
          <w:color w:val="1A1A1A"/>
          <w:szCs w:val="21"/>
        </w:rPr>
        <w:t>Miriam da Costa Oliveira</w:t>
      </w:r>
      <w:r w:rsidRPr="00543B9C">
        <w:rPr>
          <w:color w:val="1A1A1A"/>
          <w:szCs w:val="21"/>
          <w:vertAlign w:val="superscript"/>
        </w:rPr>
        <w:t>1</w:t>
      </w:r>
    </w:p>
    <w:p w:rsidR="000B5910" w:rsidRPr="007020E5" w:rsidRDefault="00057F5C">
      <w:pPr>
        <w:spacing w:before="240" w:after="100"/>
        <w:rPr>
          <w:sz w:val="22"/>
        </w:rPr>
      </w:pPr>
      <w:r w:rsidRPr="007020E5">
        <w:rPr>
          <w:b/>
          <w:color w:val="1A1A1A"/>
          <w:sz w:val="22"/>
        </w:rPr>
        <w:t>RESUMO</w:t>
      </w:r>
    </w:p>
    <w:p w:rsidR="000B5910" w:rsidRPr="00543B9C" w:rsidRDefault="00057F5C">
      <w:pPr>
        <w:spacing w:after="80"/>
        <w:jc w:val="both"/>
        <w:rPr>
          <w:sz w:val="22"/>
        </w:rPr>
      </w:pPr>
      <w:r w:rsidRPr="00543B9C">
        <w:rPr>
          <w:b/>
          <w:color w:val="1A1A1A"/>
          <w:sz w:val="22"/>
        </w:rPr>
        <w:t>Apresentação do Caso:</w:t>
      </w:r>
      <w:r w:rsidRPr="00543B9C">
        <w:rPr>
          <w:color w:val="1A1A1A"/>
          <w:sz w:val="22"/>
        </w:rPr>
        <w:t xml:space="preserve"> paciente masculino, 74 anos, encaminhado por aumento bilateral das adrenais, identificado incidentalmente. Tc realizada há 10 anos evidenciou lesões bilaterais, lobuladas, com componentes iso e hipodensos, medindo 3 cm à e e 5 cm à d, com hipótese de mielolipomas. Na avaliação atual, ausência de sinais e sintomas sugestivos de doença adrenal, pa de 130/60 mmhg, imc de 31,8 kg/m² e relato de acompanhamento urológico por hpb. Nova tc revelou massas expansivas heterogêneas, lobuladas, com predomínio de gordura macroscópica, medindo aproximadamente 9 x 8 cm na adrenal de 5,4 x 3,8 cm na e, compatíveis com mielolipomas. Avaliação hormonal mostrou cortisol basal reduzido (1,1 µg/dl às 8h), acth e screening funcional adrenal normais. Foi iniciado tratamento com prednisona 5 mg/dia. Ressonância magnética realizada 10 meses depois confirmou volumosas lesões suprarrenais bilaterais de 9,6 x 7,6 x 8,0 cm à d e de 5,5 x 3,5 x 3,7 cm à e, com predomínio de gordura macroscópica, sem sinais de invasão local, sugerindo o diagnóstico de mielolipomas. Em função do tamanho tumoral, optou-se por adrenalectomia d. O exame anatomopatológico revelou mielolipoma encapsulado, multinodular, ocupando praticamente toda a glândula, sem sinais de malignidade. No pós-operatório, o paciente evoluiu assintomático, mantendo reposição com prednisona 5 mg/dia. O seguimento por imagem demonstrou estabilidade da lesão adrenal e, compatível com mielolipoma. Na última avaliação, o paciente permanecia clinicamente estável, sem sinais ou sintomas de disfunção adrenal. </w:t>
      </w:r>
      <w:r w:rsidRPr="00543B9C">
        <w:rPr>
          <w:b/>
          <w:color w:val="1A1A1A"/>
          <w:sz w:val="22"/>
        </w:rPr>
        <w:t>Discussão:</w:t>
      </w:r>
      <w:r w:rsidRPr="00543B9C">
        <w:rPr>
          <w:color w:val="1A1A1A"/>
          <w:sz w:val="22"/>
        </w:rPr>
        <w:t xml:space="preserve"> mielolipomas adrenais são neoplasias benignas raras e causa comum de incidentalomas, como relatado nesse caso. Desordens funcionais, tanto hipersecreção hormonal associada (encontrada em menos de 20% dos casos) como hipossecreção (rara), podem estar presentes. Em 5 a 12,3% dos pacientes, os tumores são bilaterais. No caso atual, foram detectadas hipocortisolemia e lesões bilaterais. Considerando a possibilidade de rompimento ou de hemorragia retroperitoneal em grandes mielolipomas, optou-se pela ressecção cirúrgica da maior lesão. </w:t>
      </w:r>
      <w:r w:rsidRPr="00543B9C">
        <w:rPr>
          <w:b/>
          <w:color w:val="1A1A1A"/>
          <w:sz w:val="22"/>
        </w:rPr>
        <w:t>Considerações finais:</w:t>
      </w:r>
      <w:r w:rsidRPr="00543B9C">
        <w:rPr>
          <w:color w:val="1A1A1A"/>
          <w:sz w:val="22"/>
        </w:rPr>
        <w:t xml:space="preserve"> a conduta nos mielolipomas adrenais, na ausência de guidelines formais, é feita caso a caso. As opções terapêuticas são </w:t>
      </w:r>
      <w:proofErr w:type="gramStart"/>
      <w:r w:rsidRPr="00543B9C">
        <w:rPr>
          <w:color w:val="1A1A1A"/>
          <w:sz w:val="22"/>
        </w:rPr>
        <w:t>a</w:t>
      </w:r>
      <w:proofErr w:type="gramEnd"/>
      <w:r w:rsidRPr="00543B9C">
        <w:rPr>
          <w:color w:val="1A1A1A"/>
          <w:sz w:val="22"/>
        </w:rPr>
        <w:t xml:space="preserve"> observacional e a cirúrgica. O caso aqui relatado foi submetido à cirurgia, apresentando boa evolução. Os autores sugerem </w:t>
      </w:r>
      <w:proofErr w:type="gramStart"/>
      <w:r w:rsidRPr="00543B9C">
        <w:rPr>
          <w:color w:val="1A1A1A"/>
          <w:sz w:val="22"/>
        </w:rPr>
        <w:t>a</w:t>
      </w:r>
      <w:proofErr w:type="gramEnd"/>
      <w:r w:rsidRPr="00543B9C">
        <w:rPr>
          <w:color w:val="1A1A1A"/>
          <w:sz w:val="22"/>
        </w:rPr>
        <w:t xml:space="preserve"> adequação da conduta cirúrgica para mielolipomas gigantes e a monitorização das lesões de menores dimensões.</w:t>
      </w:r>
    </w:p>
    <w:p w:rsidR="000B5910" w:rsidRDefault="000B5910">
      <w:pPr>
        <w:pBdr>
          <w:bottom w:val="single" w:sz="4" w:space="2" w:color="808080"/>
        </w:pBdr>
        <w:spacing w:before="160" w:after="40"/>
      </w:pPr>
    </w:p>
    <w:p w:rsidR="000B5910" w:rsidRDefault="00057F5C">
      <w:pPr>
        <w:spacing w:after="0" w:line="252" w:lineRule="auto"/>
        <w:rPr>
          <w:sz w:val="16"/>
          <w:szCs w:val="16"/>
        </w:rPr>
      </w:pPr>
      <w:r>
        <w:rPr>
          <w:color w:val="595959"/>
          <w:sz w:val="16"/>
          <w:szCs w:val="16"/>
          <w:vertAlign w:val="superscript"/>
        </w:rPr>
        <w:t>1</w:t>
      </w:r>
      <w:r>
        <w:rPr>
          <w:color w:val="595959"/>
          <w:sz w:val="16"/>
          <w:szCs w:val="16"/>
        </w:rPr>
        <w:t xml:space="preserve"> Universidade Federal de Ciências da Saúde de Porto Alegre</w:t>
      </w:r>
    </w:p>
    <w:p w:rsidR="000B5910" w:rsidRDefault="00057F5C">
      <w:pPr>
        <w:spacing w:after="0" w:line="252" w:lineRule="auto"/>
        <w:rPr>
          <w:sz w:val="16"/>
          <w:szCs w:val="16"/>
        </w:rPr>
      </w:pPr>
      <w:r>
        <w:rPr>
          <w:color w:val="595959"/>
          <w:sz w:val="16"/>
          <w:szCs w:val="16"/>
          <w:vertAlign w:val="superscript"/>
        </w:rPr>
        <w:t>2</w:t>
      </w:r>
      <w:r>
        <w:rPr>
          <w:color w:val="595959"/>
          <w:sz w:val="16"/>
          <w:szCs w:val="16"/>
        </w:rPr>
        <w:t xml:space="preserve"> Universidade Luterana do Brasil</w:t>
      </w:r>
    </w:p>
    <w:p w:rsidR="000B5910" w:rsidRDefault="000B5910">
      <w:pPr>
        <w:sectPr w:rsidR="000B5910">
          <w:headerReference w:type="default" r:id="rId9"/>
          <w:footerReference w:type="default" r:id="rId10"/>
          <w:pgSz w:w="12240" w:h="15840"/>
          <w:pgMar w:top="1417" w:right="1417" w:bottom="1417" w:left="1417" w:header="680" w:footer="680" w:gutter="0"/>
          <w:pgNumType w:start="13"/>
          <w:cols w:space="720"/>
        </w:sectPr>
      </w:pPr>
    </w:p>
    <w:p w:rsidR="000B5910" w:rsidRDefault="00057F5C">
      <w:pPr>
        <w:spacing w:before="80" w:after="240" w:line="252" w:lineRule="auto"/>
        <w:jc w:val="center"/>
      </w:pPr>
      <w:r>
        <w:rPr>
          <w:b/>
          <w:color w:val="1A1A1A"/>
          <w:sz w:val="28"/>
        </w:rPr>
        <w:lastRenderedPageBreak/>
        <w:t>FEOCROMOCITOMA EM PACIENTE JOVEM COM SINTOMA PRINCIPAL DE SÍNCOPE</w:t>
      </w:r>
    </w:p>
    <w:p w:rsidR="000B5910" w:rsidRPr="00543B9C" w:rsidRDefault="00057F5C">
      <w:pPr>
        <w:spacing w:after="40" w:line="252" w:lineRule="auto"/>
        <w:jc w:val="right"/>
        <w:rPr>
          <w:szCs w:val="21"/>
        </w:rPr>
      </w:pPr>
      <w:r w:rsidRPr="00543B9C">
        <w:rPr>
          <w:color w:val="1A1A1A"/>
          <w:szCs w:val="21"/>
        </w:rPr>
        <w:t>Guilherme Matheus Langa</w:t>
      </w:r>
      <w:r w:rsidRPr="00543B9C">
        <w:rPr>
          <w:color w:val="1A1A1A"/>
          <w:szCs w:val="21"/>
          <w:vertAlign w:val="superscript"/>
        </w:rPr>
        <w:t>1</w:t>
      </w:r>
      <w:r w:rsidRPr="00543B9C">
        <w:rPr>
          <w:szCs w:val="21"/>
        </w:rPr>
        <w:br/>
      </w:r>
      <w:r w:rsidRPr="00543B9C">
        <w:rPr>
          <w:color w:val="1A1A1A"/>
          <w:szCs w:val="21"/>
        </w:rPr>
        <w:t>Henrique Calabria Buligon</w:t>
      </w:r>
      <w:r w:rsidRPr="00543B9C">
        <w:rPr>
          <w:color w:val="1A1A1A"/>
          <w:szCs w:val="21"/>
          <w:vertAlign w:val="superscript"/>
        </w:rPr>
        <w:t>1</w:t>
      </w:r>
      <w:r w:rsidRPr="00543B9C">
        <w:rPr>
          <w:szCs w:val="21"/>
        </w:rPr>
        <w:br/>
      </w:r>
      <w:r w:rsidRPr="00543B9C">
        <w:rPr>
          <w:color w:val="1A1A1A"/>
          <w:szCs w:val="21"/>
        </w:rPr>
        <w:t>Mônica Aparecida Poffo</w:t>
      </w:r>
      <w:r w:rsidRPr="00543B9C">
        <w:rPr>
          <w:color w:val="1A1A1A"/>
          <w:szCs w:val="21"/>
          <w:vertAlign w:val="superscript"/>
        </w:rPr>
        <w:t>1</w:t>
      </w:r>
      <w:r w:rsidRPr="00543B9C">
        <w:rPr>
          <w:szCs w:val="21"/>
        </w:rPr>
        <w:br/>
      </w:r>
      <w:r w:rsidRPr="00543B9C">
        <w:rPr>
          <w:color w:val="1A1A1A"/>
          <w:szCs w:val="21"/>
        </w:rPr>
        <w:t>José Gustavo Olijnyk</w:t>
      </w:r>
      <w:r w:rsidRPr="00543B9C">
        <w:rPr>
          <w:color w:val="1A1A1A"/>
          <w:szCs w:val="21"/>
          <w:vertAlign w:val="superscript"/>
        </w:rPr>
        <w:t>1</w:t>
      </w:r>
      <w:r w:rsidRPr="00543B9C">
        <w:rPr>
          <w:szCs w:val="21"/>
        </w:rPr>
        <w:br/>
      </w:r>
      <w:r w:rsidRPr="00543B9C">
        <w:rPr>
          <w:color w:val="1A1A1A"/>
          <w:szCs w:val="21"/>
        </w:rPr>
        <w:t>Tayane Miranda dos Santos</w:t>
      </w:r>
      <w:r w:rsidRPr="00543B9C">
        <w:rPr>
          <w:color w:val="1A1A1A"/>
          <w:szCs w:val="21"/>
          <w:vertAlign w:val="superscript"/>
        </w:rPr>
        <w:t>1</w:t>
      </w:r>
      <w:r w:rsidRPr="00543B9C">
        <w:rPr>
          <w:szCs w:val="21"/>
        </w:rPr>
        <w:br/>
      </w:r>
      <w:r w:rsidRPr="00543B9C">
        <w:rPr>
          <w:color w:val="1A1A1A"/>
          <w:szCs w:val="21"/>
        </w:rPr>
        <w:t>Lorenzo Dalprá</w:t>
      </w:r>
      <w:r w:rsidRPr="00543B9C">
        <w:rPr>
          <w:color w:val="1A1A1A"/>
          <w:szCs w:val="21"/>
          <w:vertAlign w:val="superscript"/>
        </w:rPr>
        <w:t>1</w:t>
      </w:r>
    </w:p>
    <w:p w:rsidR="000B5910" w:rsidRPr="007020E5" w:rsidRDefault="00057F5C">
      <w:pPr>
        <w:spacing w:before="240" w:after="100"/>
        <w:rPr>
          <w:sz w:val="22"/>
        </w:rPr>
      </w:pPr>
      <w:r w:rsidRPr="007020E5">
        <w:rPr>
          <w:b/>
          <w:color w:val="1A1A1A"/>
          <w:sz w:val="22"/>
        </w:rPr>
        <w:t>RESUMO</w:t>
      </w:r>
    </w:p>
    <w:p w:rsidR="000B5910" w:rsidRPr="00543B9C" w:rsidRDefault="00057F5C">
      <w:pPr>
        <w:spacing w:after="80"/>
        <w:jc w:val="both"/>
        <w:rPr>
          <w:sz w:val="22"/>
        </w:rPr>
      </w:pPr>
      <w:r w:rsidRPr="00543B9C">
        <w:rPr>
          <w:b/>
          <w:color w:val="1A1A1A"/>
          <w:sz w:val="22"/>
        </w:rPr>
        <w:t xml:space="preserve">Apresentação do Caso: </w:t>
      </w:r>
      <w:r w:rsidRPr="00543B9C">
        <w:rPr>
          <w:color w:val="1A1A1A"/>
          <w:sz w:val="22"/>
        </w:rPr>
        <w:t>Paciente masculino, 19 anos, militar da ativa, hígido, com episódios recorrentes de síncope desde 2023, que por vezes se associava a palpitações, dor torácica, cefaleia, vômitos, palidez e parestesias. Em geral apresentava- se normotenso com discreta elevação da pressão sistólica. Realizou holter de 24 horas que evidenciou 4 horas em bradicardia sinusal e 11 minutos em taquicardia sinusal. O ecocardiograma demonstrou fração de ejeção de 70% e ressonância cardíaca pequeno derrame pericárdico.</w:t>
      </w:r>
      <w:r w:rsidR="00FA1377" w:rsidRPr="00543B9C">
        <w:rPr>
          <w:color w:val="1A1A1A"/>
          <w:sz w:val="22"/>
        </w:rPr>
        <w:t xml:space="preserve"> </w:t>
      </w:r>
      <w:r w:rsidRPr="00543B9C">
        <w:rPr>
          <w:color w:val="1A1A1A"/>
          <w:sz w:val="22"/>
        </w:rPr>
        <w:t xml:space="preserve">Apresentou metanefrinas urinárias totais de 2.344,3 µg por 24 horas (valor de referência até 710) em volume urinário de 1.500 ml, metanefrina de 31 pg/ml (valor de referência &lt;100 pg/ml) e normetanefrina de 1.697pg/ml (valor de referência &lt;216 pg/ml). A ressonância magnética abdominal evidenciou massa adrenal esquerda medindo 3,9 x 3,5 x 3,0 centímetros, que levou à adrenalectomia esquerda por videolaparoscopia, com preparo pré cirúrgico com doxazosina e hidratação endovenosa. </w:t>
      </w:r>
      <w:proofErr w:type="gramStart"/>
      <w:r w:rsidRPr="00543B9C">
        <w:rPr>
          <w:color w:val="1A1A1A"/>
          <w:sz w:val="22"/>
        </w:rPr>
        <w:t>A</w:t>
      </w:r>
      <w:proofErr w:type="gramEnd"/>
      <w:r w:rsidRPr="00543B9C">
        <w:rPr>
          <w:color w:val="1A1A1A"/>
          <w:sz w:val="22"/>
        </w:rPr>
        <w:t xml:space="preserve"> imuno-histoquímica mostrou cromogranina A positiva, GATA-3 positivo, Sox10 positivo e índice proliferativo Ki-67 estimado em 1%, confirmando feocromocitoma. Após </w:t>
      </w:r>
      <w:proofErr w:type="gramStart"/>
      <w:r w:rsidRPr="00543B9C">
        <w:rPr>
          <w:color w:val="1A1A1A"/>
          <w:sz w:val="22"/>
        </w:rPr>
        <w:t>a</w:t>
      </w:r>
      <w:proofErr w:type="gramEnd"/>
      <w:r w:rsidRPr="00543B9C">
        <w:rPr>
          <w:color w:val="1A1A1A"/>
          <w:sz w:val="22"/>
        </w:rPr>
        <w:t xml:space="preserve"> alta, apresentou: metanefrinas totais 375,15 ug em urina de 24 horas, metanefrina 42,63 ug/24 horas, normetanefrina 179,07 ug/24 horas e catecolaminas 459,10 mcg/24 horas (valores normais). </w:t>
      </w:r>
      <w:r w:rsidRPr="00543B9C">
        <w:rPr>
          <w:b/>
          <w:color w:val="1A1A1A"/>
          <w:sz w:val="22"/>
        </w:rPr>
        <w:t xml:space="preserve">Discussão: </w:t>
      </w:r>
      <w:r w:rsidRPr="00543B9C">
        <w:rPr>
          <w:color w:val="1A1A1A"/>
          <w:sz w:val="22"/>
        </w:rPr>
        <w:t xml:space="preserve">O feocromocitoma é uma causa rara de síncope em pacientes jovens, podendo manifestar-se por descargas catecolaminérgicas intermitentes. Após </w:t>
      </w:r>
      <w:proofErr w:type="gramStart"/>
      <w:r w:rsidRPr="00543B9C">
        <w:rPr>
          <w:color w:val="1A1A1A"/>
          <w:sz w:val="22"/>
        </w:rPr>
        <w:t>a</w:t>
      </w:r>
      <w:proofErr w:type="gramEnd"/>
      <w:r w:rsidRPr="00543B9C">
        <w:rPr>
          <w:color w:val="1A1A1A"/>
          <w:sz w:val="22"/>
        </w:rPr>
        <w:t xml:space="preserve"> adrenalectomia, recomenda-se seguimento com dosagens periódicas de catecolaminas e metanefrinas, além de avaliação do eixo hipotálamo-hipófise-adrenal. Neste caso, observou-se discreta elevação de hormônio adrenocorticotrófico (76,2 pg/ml) com cortisol basal dentro da faixa esperada, achado possivelmente transitório no contexto pós-operatório. </w:t>
      </w:r>
      <w:r w:rsidRPr="00543B9C">
        <w:rPr>
          <w:b/>
          <w:color w:val="1A1A1A"/>
          <w:sz w:val="22"/>
        </w:rPr>
        <w:t xml:space="preserve">Considerações finais: </w:t>
      </w:r>
      <w:r w:rsidRPr="00543B9C">
        <w:rPr>
          <w:color w:val="1A1A1A"/>
          <w:sz w:val="22"/>
        </w:rPr>
        <w:t>A investigação de síncope recorrente em pacientes jovens deve incluir causas endócrinas como o feocromocitoma, especialmente se associada a sintomas autonômicos. A confirmação com metanefrinas elevadas e o tratamento cirúrgico foram fundamentais.</w:t>
      </w:r>
    </w:p>
    <w:p w:rsidR="000B5910" w:rsidRDefault="000B5910">
      <w:pPr>
        <w:pBdr>
          <w:bottom w:val="single" w:sz="4" w:space="2" w:color="808080"/>
        </w:pBdr>
        <w:spacing w:before="160" w:after="40"/>
      </w:pPr>
    </w:p>
    <w:p w:rsidR="000B5910" w:rsidRPr="00FA1377" w:rsidRDefault="00057F5C">
      <w:pPr>
        <w:spacing w:after="0" w:line="252" w:lineRule="auto"/>
        <w:rPr>
          <w:sz w:val="16"/>
          <w:szCs w:val="16"/>
        </w:rPr>
      </w:pPr>
      <w:r w:rsidRPr="00FA1377">
        <w:rPr>
          <w:color w:val="595959"/>
          <w:sz w:val="16"/>
          <w:szCs w:val="16"/>
          <w:vertAlign w:val="superscript"/>
        </w:rPr>
        <w:t>1</w:t>
      </w:r>
      <w:r w:rsidRPr="00FA1377">
        <w:rPr>
          <w:color w:val="595959"/>
          <w:sz w:val="16"/>
          <w:szCs w:val="16"/>
        </w:rPr>
        <w:t xml:space="preserve"> Hospital Militar de Área de Porto Alegre</w:t>
      </w:r>
    </w:p>
    <w:p w:rsidR="000B5910" w:rsidRDefault="000B5910">
      <w:pPr>
        <w:sectPr w:rsidR="000B5910">
          <w:headerReference w:type="default" r:id="rId11"/>
          <w:footerReference w:type="default" r:id="rId12"/>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HIPERALDOSTERONISMO PRIMÁRIO E CARCINOMA DIFERENCIADO DE TIREÓIDE: UM RELATO DE CASO E REVISÃO DA LITERATURA</w:t>
      </w:r>
    </w:p>
    <w:p w:rsidR="000B5910" w:rsidRPr="00FA1377" w:rsidRDefault="00057F5C">
      <w:pPr>
        <w:spacing w:after="40" w:line="252" w:lineRule="auto"/>
        <w:jc w:val="right"/>
        <w:rPr>
          <w:szCs w:val="21"/>
        </w:rPr>
      </w:pPr>
      <w:r w:rsidRPr="00FA1377">
        <w:rPr>
          <w:color w:val="1A1A1A"/>
          <w:szCs w:val="21"/>
        </w:rPr>
        <w:t>Laura Garcia Stella</w:t>
      </w:r>
      <w:r w:rsidRPr="00FA1377">
        <w:rPr>
          <w:color w:val="1A1A1A"/>
          <w:szCs w:val="21"/>
          <w:vertAlign w:val="superscript"/>
        </w:rPr>
        <w:t>1</w:t>
      </w:r>
      <w:r w:rsidRPr="00FA1377">
        <w:rPr>
          <w:szCs w:val="21"/>
        </w:rPr>
        <w:br/>
      </w:r>
      <w:r w:rsidRPr="00FA1377">
        <w:rPr>
          <w:color w:val="1A1A1A"/>
          <w:szCs w:val="21"/>
        </w:rPr>
        <w:t>Cristina Locatelli Barcarol</w:t>
      </w:r>
      <w:r w:rsidRPr="00FA1377">
        <w:rPr>
          <w:color w:val="1A1A1A"/>
          <w:szCs w:val="21"/>
          <w:vertAlign w:val="superscript"/>
        </w:rPr>
        <w:t>1</w:t>
      </w:r>
      <w:r w:rsidRPr="00FA1377">
        <w:rPr>
          <w:szCs w:val="21"/>
        </w:rPr>
        <w:br/>
      </w:r>
      <w:r w:rsidRPr="00FA1377">
        <w:rPr>
          <w:color w:val="1A1A1A"/>
          <w:szCs w:val="21"/>
        </w:rPr>
        <w:t>Eduarda Cagol</w:t>
      </w:r>
      <w:r w:rsidRPr="00FA1377">
        <w:rPr>
          <w:color w:val="1A1A1A"/>
          <w:szCs w:val="21"/>
          <w:vertAlign w:val="superscript"/>
        </w:rPr>
        <w:t>1</w:t>
      </w:r>
      <w:r w:rsidRPr="00FA1377">
        <w:rPr>
          <w:szCs w:val="21"/>
        </w:rPr>
        <w:br/>
      </w:r>
      <w:r w:rsidRPr="00FA1377">
        <w:rPr>
          <w:color w:val="1A1A1A"/>
          <w:szCs w:val="21"/>
        </w:rPr>
        <w:t>Gabriela Mattei Casa</w:t>
      </w:r>
      <w:r w:rsidRPr="00FA1377">
        <w:rPr>
          <w:color w:val="1A1A1A"/>
          <w:szCs w:val="21"/>
          <w:vertAlign w:val="superscript"/>
        </w:rPr>
        <w:t>1</w:t>
      </w:r>
      <w:r w:rsidRPr="00FA1377">
        <w:rPr>
          <w:szCs w:val="21"/>
        </w:rPr>
        <w:br/>
      </w:r>
      <w:r w:rsidRPr="00FA1377">
        <w:rPr>
          <w:color w:val="1A1A1A"/>
          <w:szCs w:val="21"/>
        </w:rPr>
        <w:t>Giovanna Hannaui Luciano</w:t>
      </w:r>
      <w:r w:rsidRPr="00FA1377">
        <w:rPr>
          <w:color w:val="1A1A1A"/>
          <w:szCs w:val="21"/>
          <w:vertAlign w:val="superscript"/>
        </w:rPr>
        <w:t>1</w:t>
      </w:r>
      <w:r w:rsidRPr="00FA1377">
        <w:rPr>
          <w:szCs w:val="21"/>
        </w:rPr>
        <w:br/>
      </w:r>
      <w:r w:rsidRPr="00FA1377">
        <w:rPr>
          <w:color w:val="1A1A1A"/>
          <w:szCs w:val="21"/>
        </w:rPr>
        <w:t>Izadora Bertassi dos Santos</w:t>
      </w:r>
      <w:r w:rsidRPr="00FA1377">
        <w:rPr>
          <w:color w:val="1A1A1A"/>
          <w:szCs w:val="21"/>
          <w:vertAlign w:val="superscript"/>
        </w:rPr>
        <w:t>1</w:t>
      </w:r>
      <w:r w:rsidRPr="00FA1377">
        <w:rPr>
          <w:szCs w:val="21"/>
        </w:rPr>
        <w:br/>
      </w:r>
      <w:r w:rsidRPr="00FA1377">
        <w:rPr>
          <w:color w:val="1A1A1A"/>
          <w:szCs w:val="21"/>
        </w:rPr>
        <w:t>Lucas Caberlon</w:t>
      </w:r>
      <w:r w:rsidRPr="00FA1377">
        <w:rPr>
          <w:color w:val="1A1A1A"/>
          <w:szCs w:val="21"/>
          <w:vertAlign w:val="superscript"/>
        </w:rPr>
        <w:t>1</w:t>
      </w:r>
      <w:r w:rsidRPr="00FA1377">
        <w:rPr>
          <w:szCs w:val="21"/>
        </w:rPr>
        <w:br/>
      </w:r>
      <w:r w:rsidRPr="00FA1377">
        <w:rPr>
          <w:color w:val="1A1A1A"/>
          <w:szCs w:val="21"/>
        </w:rPr>
        <w:t>Sophia Vicentin Bertoletti</w:t>
      </w:r>
      <w:r w:rsidRPr="00FA1377">
        <w:rPr>
          <w:color w:val="1A1A1A"/>
          <w:szCs w:val="21"/>
          <w:vertAlign w:val="superscript"/>
        </w:rPr>
        <w:t>1</w:t>
      </w:r>
      <w:r w:rsidRPr="00FA1377">
        <w:rPr>
          <w:szCs w:val="21"/>
        </w:rPr>
        <w:br/>
      </w:r>
      <w:r w:rsidRPr="00FA1377">
        <w:rPr>
          <w:color w:val="1A1A1A"/>
          <w:szCs w:val="21"/>
        </w:rPr>
        <w:t>⁠⁠ Vitória Bortolosso Sebben</w:t>
      </w:r>
      <w:r w:rsidRPr="00FA1377">
        <w:rPr>
          <w:color w:val="1A1A1A"/>
          <w:szCs w:val="21"/>
          <w:vertAlign w:val="superscript"/>
        </w:rPr>
        <w:t>1</w:t>
      </w:r>
      <w:r w:rsidRPr="00FA1377">
        <w:rPr>
          <w:szCs w:val="21"/>
        </w:rPr>
        <w:br/>
      </w:r>
      <w:r w:rsidRPr="00FA1377">
        <w:rPr>
          <w:color w:val="1A1A1A"/>
          <w:szCs w:val="21"/>
        </w:rPr>
        <w:t>Natalia Guedes Conte</w:t>
      </w:r>
      <w:r w:rsidRPr="00FA1377">
        <w:rPr>
          <w:color w:val="1A1A1A"/>
          <w:szCs w:val="21"/>
          <w:vertAlign w:val="superscript"/>
        </w:rPr>
        <w:t>1</w:t>
      </w:r>
    </w:p>
    <w:p w:rsidR="000B5910" w:rsidRPr="007020E5" w:rsidRDefault="00057F5C">
      <w:pPr>
        <w:spacing w:before="200" w:after="100"/>
        <w:rPr>
          <w:sz w:val="22"/>
        </w:rPr>
      </w:pPr>
      <w:r w:rsidRPr="007020E5">
        <w:rPr>
          <w:b/>
          <w:color w:val="1A1A1A"/>
          <w:sz w:val="22"/>
        </w:rPr>
        <w:t>RESUMO</w:t>
      </w:r>
    </w:p>
    <w:p w:rsidR="000B5910" w:rsidRDefault="00057F5C">
      <w:pPr>
        <w:spacing w:after="80" w:line="264" w:lineRule="auto"/>
        <w:jc w:val="both"/>
        <w:rPr>
          <w:szCs w:val="21"/>
        </w:rPr>
      </w:pPr>
      <w:r>
        <w:rPr>
          <w:b/>
          <w:color w:val="1A1A1A"/>
          <w:szCs w:val="21"/>
        </w:rPr>
        <w:t xml:space="preserve">Apresentação do Caso: </w:t>
      </w:r>
      <w:r>
        <w:rPr>
          <w:color w:val="1A1A1A"/>
          <w:szCs w:val="21"/>
        </w:rPr>
        <w:t xml:space="preserve">A relação entre hiperaldosteronismo primário (HAP) e carcinoma diferenciado de tireoide ainda não está completamente estabelecida, mas evidências sugerem que o excesso crônico de aldosterona pode exercer efeitos pró-oncogênicos por meio da ativação do receptor mineralocorticoide. Relatamos o caso de uma mulher, 58 anos, com histórico de carcinoma papilífero de tireoide (variantes clássica e folicular) diagnosticado em 2020, com tratamento cirúrgico apenas e resposta excelente. A paciente apresentava hipertensão arterial sistêmica (HAS) desde os 49 anos, doença celíaca associada à dermatite herpetiforme, nefrolitíase, hemofilia e hipertrigliceridemia. Estava sob uso continuado de: colecalciferol 2000UI/dia, olmesartana medoxomila + hidroclorotiazida 40/12,5mg/dia, levotiroxina 112 mcg/dia, finasterida 5 mg/dia, succinato de metoprolol 25 mg/dia e anlodipino 10 mg/dia. Durante o acompanhamento, evoluiu com quadro de HAS de difícil controle (valores máximos de pressão arterial chegando a 190/90 mmHg), apesar de terapia combinada e adequada aderência. </w:t>
      </w:r>
      <w:proofErr w:type="gramStart"/>
      <w:r>
        <w:rPr>
          <w:color w:val="1A1A1A"/>
          <w:szCs w:val="21"/>
        </w:rPr>
        <w:t>A</w:t>
      </w:r>
      <w:proofErr w:type="gramEnd"/>
      <w:r>
        <w:rPr>
          <w:color w:val="1A1A1A"/>
          <w:szCs w:val="21"/>
        </w:rPr>
        <w:t xml:space="preserve"> investigação inicial evidenciou renina suprimida e aldosterona elevada (21,8 ng/dL). O teste de sobrecarga salina confirmou hiperaldosteronismo primário. A tomografia abdominal demonstrou nódulo adrenal direito de 1,8 cm, compatível com adenoma. Foi realizada adrenalectomia direita com remissão da HAS e redução gradativa dos anti-hipertensivos.</w:t>
      </w:r>
      <w:r>
        <w:rPr>
          <w:b/>
          <w:color w:val="1A1A1A"/>
          <w:szCs w:val="21"/>
        </w:rPr>
        <w:t xml:space="preserve"> Discussão: </w:t>
      </w:r>
      <w:r>
        <w:rPr>
          <w:color w:val="1A1A1A"/>
          <w:szCs w:val="21"/>
        </w:rPr>
        <w:t xml:space="preserve">O HAP é uma causa frequente de hipertensão secundária, com prevalência de 5–10% em hipertensos, e até 20% nos casos resistentes. A condição decorre da secreção autônoma de aldosterona, levando à retenção de sódio, expansão volêmica e supressão da renina. As principais etiologias incluem o adenoma produtor de aldosterona e a hiperplasia adrenal bilateral. A presença de renina suprimida e aldosterona elevada, confirmada por teste dinâmico e exames de imagem, estabeleceu o diagnóstico na paciente do caso e permitiu o tratamento cirúrgico definitivo. O excesso crônico de aldosterona pode ativar o receptor mineralocorticóide e desencadear processos como estresse oxidativo, inflamação, proliferação celular e angiogênese. </w:t>
      </w:r>
      <w:r>
        <w:rPr>
          <w:b/>
          <w:color w:val="1A1A1A"/>
          <w:szCs w:val="21"/>
        </w:rPr>
        <w:t>Considerações finais:</w:t>
      </w:r>
      <w:r>
        <w:rPr>
          <w:color w:val="1A1A1A"/>
          <w:szCs w:val="21"/>
        </w:rPr>
        <w:t xml:space="preserve"> Este caso destaca </w:t>
      </w:r>
      <w:proofErr w:type="gramStart"/>
      <w:r>
        <w:rPr>
          <w:color w:val="1A1A1A"/>
          <w:szCs w:val="21"/>
        </w:rPr>
        <w:t>a</w:t>
      </w:r>
      <w:proofErr w:type="gramEnd"/>
      <w:r>
        <w:rPr>
          <w:color w:val="1A1A1A"/>
          <w:szCs w:val="21"/>
        </w:rPr>
        <w:t xml:space="preserve"> importância do rastreamento do hiperaldosteronismo primário em pacientes com hipertensão resistente, e mais ainda em pacientes com histórico de carcinoma diferenciado de tireoide.</w:t>
      </w:r>
    </w:p>
    <w:p w:rsidR="000B5910" w:rsidRDefault="000B5910">
      <w:pPr>
        <w:pBdr>
          <w:bottom w:val="single" w:sz="4" w:space="2" w:color="808080"/>
        </w:pBdr>
        <w:spacing w:before="120" w:after="40"/>
      </w:pPr>
    </w:p>
    <w:p w:rsidR="000B5910" w:rsidRPr="00FA1377" w:rsidRDefault="00057F5C">
      <w:pPr>
        <w:spacing w:after="0" w:line="252" w:lineRule="auto"/>
        <w:rPr>
          <w:sz w:val="16"/>
          <w:szCs w:val="16"/>
        </w:rPr>
      </w:pPr>
      <w:r w:rsidRPr="00FA1377">
        <w:rPr>
          <w:color w:val="595959"/>
          <w:sz w:val="16"/>
          <w:szCs w:val="16"/>
          <w:vertAlign w:val="superscript"/>
        </w:rPr>
        <w:t>1</w:t>
      </w:r>
      <w:r w:rsidRPr="00FA1377">
        <w:rPr>
          <w:color w:val="595959"/>
          <w:sz w:val="16"/>
          <w:szCs w:val="16"/>
        </w:rPr>
        <w:t xml:space="preserve"> Universidade de Caxias do Sul</w:t>
      </w:r>
    </w:p>
    <w:p w:rsidR="000B5910" w:rsidRDefault="000B5910">
      <w:pPr>
        <w:sectPr w:rsidR="000B5910">
          <w:headerReference w:type="default" r:id="rId13"/>
          <w:footerReference w:type="default" r:id="rId14"/>
          <w:pgSz w:w="12240" w:h="15840"/>
          <w:pgMar w:top="1417" w:right="1417" w:bottom="1417" w:left="1417" w:header="680" w:footer="680" w:gutter="0"/>
          <w:cols w:space="720"/>
        </w:sectPr>
      </w:pPr>
    </w:p>
    <w:p w:rsidR="000B5910" w:rsidRPr="00FA1377" w:rsidRDefault="00057F5C">
      <w:pPr>
        <w:spacing w:before="80" w:after="240" w:line="252" w:lineRule="auto"/>
        <w:jc w:val="center"/>
        <w:rPr>
          <w:sz w:val="28"/>
          <w:szCs w:val="28"/>
        </w:rPr>
      </w:pPr>
      <w:r w:rsidRPr="00FA1377">
        <w:rPr>
          <w:b/>
          <w:color w:val="1A1A1A"/>
          <w:sz w:val="28"/>
          <w:szCs w:val="28"/>
        </w:rPr>
        <w:lastRenderedPageBreak/>
        <w:t>FEOCROMOCITOMA COMO INCIDENTALOMA DE ADRENAL EM PACIENTE COM CARDIOPATIA GRAVE: UM RELATO DE CASO E REVISÃO DA LITERATURA</w:t>
      </w:r>
    </w:p>
    <w:p w:rsidR="000B5910" w:rsidRPr="00FA1377" w:rsidRDefault="00057F5C">
      <w:pPr>
        <w:spacing w:after="40" w:line="252" w:lineRule="auto"/>
        <w:jc w:val="right"/>
        <w:rPr>
          <w:szCs w:val="21"/>
        </w:rPr>
      </w:pPr>
      <w:r w:rsidRPr="00FA1377">
        <w:rPr>
          <w:color w:val="1A1A1A"/>
          <w:szCs w:val="21"/>
        </w:rPr>
        <w:t>Amanda Vier Pelisser</w:t>
      </w:r>
      <w:r w:rsidRPr="00FA1377">
        <w:rPr>
          <w:color w:val="1A1A1A"/>
          <w:szCs w:val="21"/>
          <w:vertAlign w:val="superscript"/>
        </w:rPr>
        <w:t>1</w:t>
      </w:r>
      <w:r w:rsidRPr="00FA1377">
        <w:rPr>
          <w:szCs w:val="21"/>
        </w:rPr>
        <w:br/>
      </w:r>
      <w:r w:rsidRPr="00FA1377">
        <w:rPr>
          <w:color w:val="1A1A1A"/>
          <w:szCs w:val="21"/>
        </w:rPr>
        <w:t>Júlia Tolardo Posso</w:t>
      </w:r>
      <w:r w:rsidRPr="00FA1377">
        <w:rPr>
          <w:color w:val="1A1A1A"/>
          <w:szCs w:val="21"/>
          <w:vertAlign w:val="superscript"/>
        </w:rPr>
        <w:t>1</w:t>
      </w:r>
      <w:r w:rsidRPr="00FA1377">
        <w:rPr>
          <w:szCs w:val="21"/>
        </w:rPr>
        <w:br/>
      </w:r>
      <w:r w:rsidRPr="00FA1377">
        <w:rPr>
          <w:color w:val="1A1A1A"/>
          <w:szCs w:val="21"/>
        </w:rPr>
        <w:t>Laiana Manoela Trisch Fabro</w:t>
      </w:r>
      <w:r w:rsidRPr="00FA1377">
        <w:rPr>
          <w:color w:val="1A1A1A"/>
          <w:szCs w:val="21"/>
          <w:vertAlign w:val="superscript"/>
        </w:rPr>
        <w:t>1</w:t>
      </w:r>
      <w:r w:rsidRPr="00FA1377">
        <w:rPr>
          <w:szCs w:val="21"/>
        </w:rPr>
        <w:br/>
      </w:r>
      <w:r w:rsidRPr="00FA1377">
        <w:rPr>
          <w:color w:val="1A1A1A"/>
          <w:szCs w:val="21"/>
        </w:rPr>
        <w:t>Manuela Sais Bittencourt</w:t>
      </w:r>
      <w:r w:rsidRPr="00FA1377">
        <w:rPr>
          <w:color w:val="1A1A1A"/>
          <w:szCs w:val="21"/>
          <w:vertAlign w:val="superscript"/>
        </w:rPr>
        <w:t>1</w:t>
      </w:r>
      <w:r w:rsidRPr="00FA1377">
        <w:rPr>
          <w:szCs w:val="21"/>
        </w:rPr>
        <w:br/>
      </w:r>
      <w:r w:rsidRPr="00FA1377">
        <w:rPr>
          <w:color w:val="1A1A1A"/>
          <w:szCs w:val="21"/>
        </w:rPr>
        <w:t>Natália Guedes Conte</w:t>
      </w:r>
      <w:r w:rsidRPr="00FA1377">
        <w:rPr>
          <w:color w:val="1A1A1A"/>
          <w:szCs w:val="21"/>
          <w:vertAlign w:val="superscript"/>
        </w:rPr>
        <w:t>1</w:t>
      </w:r>
    </w:p>
    <w:p w:rsidR="000B5910" w:rsidRPr="007020E5" w:rsidRDefault="00057F5C">
      <w:pPr>
        <w:spacing w:before="240" w:after="100"/>
        <w:rPr>
          <w:sz w:val="22"/>
          <w:szCs w:val="28"/>
        </w:rPr>
      </w:pPr>
      <w:r w:rsidRPr="007020E5">
        <w:rPr>
          <w:b/>
          <w:color w:val="1A1A1A"/>
          <w:sz w:val="22"/>
          <w:szCs w:val="28"/>
        </w:rPr>
        <w:t>RESUMO</w:t>
      </w:r>
    </w:p>
    <w:p w:rsidR="000B5910" w:rsidRPr="007020E5" w:rsidRDefault="00057F5C">
      <w:pPr>
        <w:spacing w:after="80"/>
        <w:jc w:val="both"/>
        <w:rPr>
          <w:sz w:val="22"/>
        </w:rPr>
      </w:pPr>
      <w:r w:rsidRPr="007020E5">
        <w:rPr>
          <w:b/>
          <w:color w:val="1A1A1A"/>
          <w:sz w:val="22"/>
        </w:rPr>
        <w:t>Apresentação do Caso</w:t>
      </w:r>
      <w:r w:rsidRPr="007020E5">
        <w:rPr>
          <w:color w:val="1A1A1A"/>
          <w:sz w:val="22"/>
        </w:rPr>
        <w:t xml:space="preserve">: Feocromocitoma é um tumor neuroendócrino raro originado de células cromafins da medula adrenal, sua incidência em pacientes com incidentaloma adrenal varia geralmente entre 3% a 5%. Relatamos o caso de um homem, 67 anos, com cardiomiopatia dilatada e fração de ejeção reduzida (36%), doença renal crônica estágio 3b, fazendo uso continuado de: Sacubitril/Valsartana, Dapagliflozina, Furosemida, Sinvastatina, Rivaroxabana, Amiodarona e Succinato de Metoprolol. Realizou implante de marcapasso em setembro de 2025, no qual evoluiu no pós-operatório com tromboembolismo pulmonar segmentar. Durante a internação hospitalar, exame de tomografia computadorizada de tórax evidenciou lesão heterogênea na adrenal esquerda medindo 3,9 cm, confirmada com exame de ressonância magnética com características compatíveis com feocromocitoma. As dosagens hormonais de metanefrinas plasmáticas (Normetanefrinas 652,8 pg/mL e Metanefrinas 894,1 pg/mL), metanefrinas (Normetanefrinas 1673,7 mcg/24h e Metanefrinas 3525,6 mcg/24h) e catecolaminas em urina de 24h (Noradrenalina 127,9 mcg/24h, Adrenalina 68,2 mcg/24h, Dopamina 560,5 mcg/24h e Ácido vanil mandélico 10,9 mg/24h) confirmaram o diagnóstico. O alfa e beta bloqueio com Mesilato de Doxazosina e Succinato de Metoprolol foi iniciado até o agendamento do tratamento cirúrgico definitivo. </w:t>
      </w:r>
      <w:r w:rsidRPr="007020E5">
        <w:rPr>
          <w:b/>
          <w:color w:val="1A1A1A"/>
          <w:sz w:val="22"/>
        </w:rPr>
        <w:t>Discussão</w:t>
      </w:r>
      <w:r w:rsidRPr="007020E5">
        <w:rPr>
          <w:color w:val="1A1A1A"/>
          <w:sz w:val="22"/>
        </w:rPr>
        <w:t xml:space="preserve">: Os incidentalomas adrenais apresentam prevalência estimada de 7% em exames de imagem realizados por outras indicações. O feocromocitoma é uma patologia que impõe alto risco cardiometabólico e exige atenção multidisciplinar quanto ao manejo dos sintomas e possíveis complicações peri-operatórias. As manifestações clínicas são decorrentes da secreção excessiva de catecolaminas e incluem hipertensão (sintoma mais comum), cefaleia, sudorese excessiva e tremores. O bloqueio alfa e beta adrenérgicos pré-operatório é o primeiro passo para controlar a hemodinâmica, evitando crises hipertensivas e arritmias durante a manipulação transcirúrgica. </w:t>
      </w:r>
      <w:proofErr w:type="gramStart"/>
      <w:r w:rsidRPr="007020E5">
        <w:rPr>
          <w:color w:val="1A1A1A"/>
          <w:sz w:val="22"/>
        </w:rPr>
        <w:t>A</w:t>
      </w:r>
      <w:proofErr w:type="gramEnd"/>
      <w:r w:rsidRPr="007020E5">
        <w:rPr>
          <w:color w:val="1A1A1A"/>
          <w:sz w:val="22"/>
        </w:rPr>
        <w:t xml:space="preserve"> adrenalectomia deve ser realizada o quanto antes, a fim de se evitar infarto agudo do miocárdio, acidente vascular cerebral, colapso hemodinâmico e morte súbita. </w:t>
      </w:r>
      <w:r w:rsidRPr="007020E5">
        <w:rPr>
          <w:b/>
          <w:color w:val="1A1A1A"/>
          <w:sz w:val="22"/>
        </w:rPr>
        <w:t>Considerações finais</w:t>
      </w:r>
      <w:r w:rsidRPr="007020E5">
        <w:rPr>
          <w:color w:val="1A1A1A"/>
          <w:sz w:val="22"/>
        </w:rPr>
        <w:t xml:space="preserve">: Embora a maioria dos incidentalomas seja benigna e não funcional, </w:t>
      </w:r>
      <w:proofErr w:type="gramStart"/>
      <w:r w:rsidRPr="007020E5">
        <w:rPr>
          <w:color w:val="1A1A1A"/>
          <w:sz w:val="22"/>
        </w:rPr>
        <w:t>a</w:t>
      </w:r>
      <w:proofErr w:type="gramEnd"/>
      <w:r w:rsidRPr="007020E5">
        <w:rPr>
          <w:color w:val="1A1A1A"/>
          <w:sz w:val="22"/>
        </w:rPr>
        <w:t xml:space="preserve"> investigação de feocromocitoma é mandatória em todos os casos. </w:t>
      </w:r>
      <w:proofErr w:type="gramStart"/>
      <w:r w:rsidRPr="007020E5">
        <w:rPr>
          <w:color w:val="1A1A1A"/>
          <w:sz w:val="22"/>
        </w:rPr>
        <w:t>A</w:t>
      </w:r>
      <w:proofErr w:type="gramEnd"/>
      <w:r w:rsidRPr="007020E5">
        <w:rPr>
          <w:color w:val="1A1A1A"/>
          <w:sz w:val="22"/>
        </w:rPr>
        <w:t xml:space="preserve"> espera entre o diagnóstico e a adrenalectomia merece atenção especial quando o paciente apresenta cardiopatia grave.</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de Caxias do Sul</w:t>
      </w:r>
    </w:p>
    <w:p w:rsidR="000B5910" w:rsidRDefault="000B5910">
      <w:pPr>
        <w:sectPr w:rsidR="000B5910">
          <w:headerReference w:type="default" r:id="rId15"/>
          <w:footerReference w:type="default" r:id="rId16"/>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PREVALÊNCIA DE DOENÇAS METABÓLICAS RELACIONADAS AO HIPERCORTISOLISMO SUBCLÍNICO EM PACIENTES COM INCIDENTALOMA ADRENAL: UMA REVISÃO SISTEMÁTICA</w:t>
      </w:r>
    </w:p>
    <w:p w:rsidR="000B5910" w:rsidRDefault="00057F5C">
      <w:pPr>
        <w:spacing w:after="40" w:line="252" w:lineRule="auto"/>
        <w:jc w:val="right"/>
        <w:rPr>
          <w:sz w:val="20"/>
          <w:szCs w:val="20"/>
        </w:rPr>
      </w:pPr>
      <w:r>
        <w:rPr>
          <w:color w:val="1A1A1A"/>
          <w:sz w:val="20"/>
          <w:szCs w:val="20"/>
        </w:rPr>
        <w:t>Nândrea da Silva Vestefal</w:t>
      </w:r>
      <w:r>
        <w:rPr>
          <w:color w:val="1A1A1A"/>
          <w:sz w:val="20"/>
          <w:szCs w:val="20"/>
          <w:vertAlign w:val="superscript"/>
        </w:rPr>
        <w:t>1</w:t>
      </w:r>
      <w:r>
        <w:rPr>
          <w:sz w:val="20"/>
          <w:szCs w:val="20"/>
        </w:rPr>
        <w:br/>
      </w:r>
      <w:r>
        <w:rPr>
          <w:color w:val="1A1A1A"/>
          <w:sz w:val="20"/>
          <w:szCs w:val="20"/>
        </w:rPr>
        <w:t>Fernanda Camila Bassetto</w:t>
      </w:r>
      <w:r>
        <w:rPr>
          <w:color w:val="1A1A1A"/>
          <w:sz w:val="20"/>
          <w:szCs w:val="20"/>
          <w:vertAlign w:val="superscript"/>
        </w:rPr>
        <w:t>1</w:t>
      </w:r>
      <w:r>
        <w:rPr>
          <w:sz w:val="20"/>
          <w:szCs w:val="20"/>
        </w:rPr>
        <w:br/>
      </w:r>
      <w:r>
        <w:rPr>
          <w:color w:val="1A1A1A"/>
          <w:sz w:val="20"/>
          <w:szCs w:val="20"/>
        </w:rPr>
        <w:t>Micheline Márcia Igino da Silva</w:t>
      </w:r>
      <w:r>
        <w:rPr>
          <w:color w:val="1A1A1A"/>
          <w:sz w:val="20"/>
          <w:szCs w:val="20"/>
          <w:vertAlign w:val="superscript"/>
        </w:rPr>
        <w:t>1</w:t>
      </w:r>
      <w:r>
        <w:rPr>
          <w:sz w:val="20"/>
          <w:szCs w:val="20"/>
        </w:rPr>
        <w:br/>
      </w:r>
      <w:r>
        <w:rPr>
          <w:color w:val="1A1A1A"/>
          <w:sz w:val="20"/>
          <w:szCs w:val="20"/>
        </w:rPr>
        <w:t>João Lucas Costa Perfeito</w:t>
      </w:r>
      <w:r>
        <w:rPr>
          <w:color w:val="1A1A1A"/>
          <w:sz w:val="20"/>
          <w:szCs w:val="20"/>
          <w:vertAlign w:val="superscript"/>
        </w:rPr>
        <w:t>1</w:t>
      </w:r>
      <w:r>
        <w:rPr>
          <w:sz w:val="20"/>
          <w:szCs w:val="20"/>
        </w:rPr>
        <w:br/>
      </w:r>
      <w:r>
        <w:rPr>
          <w:color w:val="1A1A1A"/>
          <w:sz w:val="20"/>
          <w:szCs w:val="20"/>
        </w:rPr>
        <w:t>Samanta Feliciano Nhaga</w:t>
      </w:r>
      <w:r>
        <w:rPr>
          <w:color w:val="1A1A1A"/>
          <w:sz w:val="20"/>
          <w:szCs w:val="20"/>
          <w:vertAlign w:val="superscript"/>
        </w:rPr>
        <w:t>1</w:t>
      </w:r>
      <w:r>
        <w:rPr>
          <w:sz w:val="20"/>
          <w:szCs w:val="20"/>
        </w:rPr>
        <w:br/>
      </w:r>
      <w:r>
        <w:rPr>
          <w:color w:val="1A1A1A"/>
          <w:sz w:val="20"/>
          <w:szCs w:val="20"/>
        </w:rPr>
        <w:t>André Luiz da Silva</w:t>
      </w:r>
      <w:r>
        <w:rPr>
          <w:color w:val="1A1A1A"/>
          <w:sz w:val="20"/>
          <w:szCs w:val="20"/>
          <w:vertAlign w:val="superscript"/>
        </w:rPr>
        <w:t>1</w:t>
      </w:r>
    </w:p>
    <w:p w:rsidR="000B5910" w:rsidRDefault="00057F5C">
      <w:pPr>
        <w:spacing w:before="200" w:after="100"/>
        <w:rPr>
          <w:sz w:val="22"/>
        </w:rPr>
      </w:pPr>
      <w:r>
        <w:rPr>
          <w:b/>
          <w:color w:val="1A1A1A"/>
          <w:sz w:val="22"/>
        </w:rPr>
        <w:t>RESUMO</w:t>
      </w:r>
    </w:p>
    <w:p w:rsidR="000B5910" w:rsidRPr="007020E5" w:rsidRDefault="00057F5C">
      <w:pPr>
        <w:spacing w:after="80" w:line="264" w:lineRule="auto"/>
        <w:jc w:val="both"/>
        <w:rPr>
          <w:sz w:val="22"/>
        </w:rPr>
      </w:pPr>
      <w:r w:rsidRPr="007020E5">
        <w:rPr>
          <w:b/>
          <w:color w:val="1A1A1A"/>
          <w:sz w:val="22"/>
        </w:rPr>
        <w:t>Introdução:</w:t>
      </w:r>
      <w:r w:rsidRPr="007020E5">
        <w:rPr>
          <w:color w:val="1A1A1A"/>
          <w:sz w:val="22"/>
        </w:rPr>
        <w:t xml:space="preserve"> O incidentaloma adrenal é caracterizado como sendo uma massa adrenal, funcional ou não, de 1 cm ou mais de diâmetro, que costuma ser descoberto por acaso em exames de imagem. Evidências indicam que tais lesões estão relacionadas com a produção autônoma do cortisol, que se associa ao risco de desenvolvimento de doenças cardiometabólicas, como hipertensão, dislipidemia e doenças coronarianas. Com isso, busca-se avaliar a relação entre o hipercortisolismo subclínico e a prevalência de doenças cardiometabólicas. </w:t>
      </w:r>
      <w:r w:rsidRPr="007020E5">
        <w:rPr>
          <w:b/>
          <w:color w:val="1A1A1A"/>
          <w:sz w:val="22"/>
        </w:rPr>
        <w:t>Objetivo:</w:t>
      </w:r>
      <w:r w:rsidRPr="007020E5">
        <w:rPr>
          <w:color w:val="1A1A1A"/>
          <w:sz w:val="22"/>
        </w:rPr>
        <w:t xml:space="preserve"> Avaliar a prevalência de doenças metabólicas associadas ao hipercortisolismo subclínico em pacientes com incidentaloma adrenal. </w:t>
      </w:r>
      <w:r w:rsidRPr="007020E5">
        <w:rPr>
          <w:b/>
          <w:color w:val="1A1A1A"/>
          <w:sz w:val="22"/>
        </w:rPr>
        <w:t xml:space="preserve">Métodos: </w:t>
      </w:r>
      <w:r w:rsidRPr="007020E5">
        <w:rPr>
          <w:color w:val="1A1A1A"/>
          <w:sz w:val="22"/>
        </w:rPr>
        <w:t xml:space="preserve">Revisão sistemática conduzida de acordo com as diretrizes PRISMA, com busca nas bases PubMed, Cochrane e SciELO, incluindo estudos publicados entre 2016 e 2026. Após a busca nas bases de dados, foram identificados 15 estudos. Com </w:t>
      </w:r>
      <w:proofErr w:type="gramStart"/>
      <w:r w:rsidRPr="007020E5">
        <w:rPr>
          <w:color w:val="1A1A1A"/>
          <w:sz w:val="22"/>
        </w:rPr>
        <w:t>a</w:t>
      </w:r>
      <w:proofErr w:type="gramEnd"/>
      <w:r w:rsidRPr="007020E5">
        <w:rPr>
          <w:color w:val="1A1A1A"/>
          <w:sz w:val="22"/>
        </w:rPr>
        <w:t xml:space="preserve"> análise de títulos, resumos e textos completos, 9 estudos foram incluídos na análise final conforme critérios de elegibilidade. Excluíram-se relatos de caso e estudos que não abordavam diretamente o tema. Foram incluídos estudos observacionais e ensaios clínicos que avaliaram </w:t>
      </w:r>
      <w:proofErr w:type="gramStart"/>
      <w:r w:rsidRPr="007020E5">
        <w:rPr>
          <w:color w:val="1A1A1A"/>
          <w:sz w:val="22"/>
        </w:rPr>
        <w:t>a</w:t>
      </w:r>
      <w:proofErr w:type="gramEnd"/>
      <w:r w:rsidRPr="007020E5">
        <w:rPr>
          <w:color w:val="1A1A1A"/>
          <w:sz w:val="22"/>
        </w:rPr>
        <w:t xml:space="preserve"> associação entre secreção autônoma de cortisol e desfechos metabólicos. </w:t>
      </w:r>
      <w:r w:rsidRPr="007020E5">
        <w:rPr>
          <w:b/>
          <w:color w:val="1A1A1A"/>
          <w:sz w:val="22"/>
        </w:rPr>
        <w:t>Resultados:</w:t>
      </w:r>
      <w:r w:rsidRPr="007020E5">
        <w:rPr>
          <w:color w:val="1A1A1A"/>
          <w:sz w:val="22"/>
        </w:rPr>
        <w:t xml:space="preserve"> Os estudos analisados demonstram que os incidentalomas adrenais apresentam comportamento funcional heterogêneo. A maioria das lesões é não funcionante, embora parte dos pacientes apresente secreção autônoma de cortisol, frequentemente subclínica. Pacientes com secreção autônoma de cortisol apresentaram maior frequência de alterações cardiometabólicas, incluindo hipertensão arterial, diabetes mellitus e dislipidemia. Em uma coorte brasileira, 41% dos pacientes apresentaram secreção de cortisol, sendo que, entre esses, 67% tinham hipertensão e 67% diabetes ou hiperglicemia. Evidências indicam impacto negativo sobre o tecido ósseo, com redução da qualidade óssea em indivíduos com hipercortisolismo subclínico. Marcadores isolados, como o ACTH, apresentam limitações diagnósticas, com níveis suprimidos observados em até 53% dos casos. Por fim, estudos sugerem que </w:t>
      </w:r>
      <w:proofErr w:type="gramStart"/>
      <w:r w:rsidRPr="007020E5">
        <w:rPr>
          <w:color w:val="1A1A1A"/>
          <w:sz w:val="22"/>
        </w:rPr>
        <w:t>a</w:t>
      </w:r>
      <w:proofErr w:type="gramEnd"/>
      <w:r w:rsidRPr="007020E5">
        <w:rPr>
          <w:color w:val="1A1A1A"/>
          <w:sz w:val="22"/>
        </w:rPr>
        <w:t xml:space="preserve"> abordagem cirúrgica pode contribuir para melhora de desfechos cardiometabólicos em pacientes selecionados, embora ainda haja necessidade de evidências mais robustas. </w:t>
      </w:r>
      <w:r w:rsidRPr="007020E5">
        <w:rPr>
          <w:b/>
          <w:color w:val="1A1A1A"/>
          <w:sz w:val="22"/>
        </w:rPr>
        <w:t xml:space="preserve">Conclusão: </w:t>
      </w:r>
      <w:r w:rsidRPr="007020E5">
        <w:rPr>
          <w:color w:val="1A1A1A"/>
          <w:sz w:val="22"/>
        </w:rPr>
        <w:t xml:space="preserve">A produção de cortisol em alguns tumores adrenais reforça </w:t>
      </w:r>
      <w:proofErr w:type="gramStart"/>
      <w:r w:rsidRPr="007020E5">
        <w:rPr>
          <w:color w:val="1A1A1A"/>
          <w:sz w:val="22"/>
        </w:rPr>
        <w:t>a</w:t>
      </w:r>
      <w:proofErr w:type="gramEnd"/>
      <w:r w:rsidRPr="007020E5">
        <w:rPr>
          <w:color w:val="1A1A1A"/>
          <w:sz w:val="22"/>
        </w:rPr>
        <w:t xml:space="preserve"> associação e a importância da avaliação hormonal na prevenção do desenvolvimento de doenças metabólicas.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Federal de Ciências da Saúde de Porto Alegre</w:t>
      </w:r>
    </w:p>
    <w:p w:rsidR="000B5910" w:rsidRDefault="000B5910">
      <w:pPr>
        <w:sectPr w:rsidR="000B5910">
          <w:headerReference w:type="default" r:id="rId17"/>
          <w:footerReference w:type="default" r:id="rId1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ADRENALECTOMIA BILATERAL NA SÍNDROME DE CUSHING POR ACTH ECTÓPICO: SÉRIE DE CINCO CASOS E REVISÃO DA LITERATURA</w:t>
      </w:r>
    </w:p>
    <w:p w:rsidR="000B5910" w:rsidRPr="005A5C3A" w:rsidRDefault="00057F5C">
      <w:pPr>
        <w:spacing w:after="40" w:line="252" w:lineRule="auto"/>
        <w:jc w:val="right"/>
        <w:rPr>
          <w:szCs w:val="21"/>
        </w:rPr>
      </w:pPr>
      <w:r w:rsidRPr="005A5C3A">
        <w:rPr>
          <w:color w:val="1A1A1A"/>
          <w:szCs w:val="21"/>
        </w:rPr>
        <w:t>Bianca Tonietto Tonolli</w:t>
      </w:r>
      <w:r w:rsidRPr="005A5C3A">
        <w:rPr>
          <w:color w:val="1A1A1A"/>
          <w:szCs w:val="21"/>
          <w:vertAlign w:val="superscript"/>
        </w:rPr>
        <w:t>1</w:t>
      </w:r>
      <w:r w:rsidRPr="005A5C3A">
        <w:rPr>
          <w:szCs w:val="21"/>
        </w:rPr>
        <w:br/>
      </w:r>
      <w:r w:rsidRPr="005A5C3A">
        <w:rPr>
          <w:color w:val="1A1A1A"/>
          <w:szCs w:val="21"/>
        </w:rPr>
        <w:t>Mauro Ântonio Czepielewski</w:t>
      </w:r>
      <w:r w:rsidRPr="005A5C3A">
        <w:rPr>
          <w:color w:val="1A1A1A"/>
          <w:szCs w:val="21"/>
          <w:vertAlign w:val="superscript"/>
        </w:rPr>
        <w:t>1</w:t>
      </w:r>
      <w:r w:rsidRPr="005A5C3A">
        <w:rPr>
          <w:szCs w:val="21"/>
        </w:rPr>
        <w:br/>
      </w:r>
      <w:r w:rsidRPr="005A5C3A">
        <w:rPr>
          <w:color w:val="1A1A1A"/>
          <w:szCs w:val="21"/>
        </w:rPr>
        <w:t>Tobias Skrebsky de Almeida</w:t>
      </w:r>
      <w:r w:rsidRPr="005A5C3A">
        <w:rPr>
          <w:color w:val="1A1A1A"/>
          <w:szCs w:val="21"/>
          <w:vertAlign w:val="superscript"/>
        </w:rPr>
        <w:t>1</w:t>
      </w:r>
      <w:r w:rsidRPr="005A5C3A">
        <w:rPr>
          <w:szCs w:val="21"/>
        </w:rPr>
        <w:br/>
      </w:r>
      <w:r w:rsidRPr="005A5C3A">
        <w:rPr>
          <w:color w:val="1A1A1A"/>
          <w:szCs w:val="21"/>
        </w:rPr>
        <w:t>Ticiana da Costa Rodrigues</w:t>
      </w:r>
      <w:r w:rsidRPr="005A5C3A">
        <w:rPr>
          <w:color w:val="1A1A1A"/>
          <w:szCs w:val="21"/>
          <w:vertAlign w:val="superscript"/>
        </w:rPr>
        <w:t>1</w:t>
      </w:r>
      <w:r w:rsidRPr="005A5C3A">
        <w:rPr>
          <w:szCs w:val="21"/>
        </w:rPr>
        <w:br/>
      </w:r>
      <w:r w:rsidRPr="005A5C3A">
        <w:rPr>
          <w:color w:val="1A1A1A"/>
          <w:szCs w:val="21"/>
        </w:rPr>
        <w:t>José Ricardo Guimarães</w:t>
      </w:r>
      <w:r w:rsidRPr="005A5C3A">
        <w:rPr>
          <w:color w:val="1A1A1A"/>
          <w:szCs w:val="21"/>
          <w:vertAlign w:val="superscript"/>
        </w:rPr>
        <w:t>1</w:t>
      </w:r>
    </w:p>
    <w:p w:rsidR="000B5910" w:rsidRDefault="00057F5C">
      <w:pPr>
        <w:spacing w:before="240" w:after="100"/>
      </w:pPr>
      <w:r>
        <w:rPr>
          <w:b/>
          <w:color w:val="1A1A1A"/>
          <w:sz w:val="22"/>
        </w:rPr>
        <w:t>RESUMO</w:t>
      </w:r>
    </w:p>
    <w:p w:rsidR="000B5910" w:rsidRPr="005A5C3A" w:rsidRDefault="00057F5C">
      <w:pPr>
        <w:spacing w:after="80"/>
        <w:jc w:val="both"/>
        <w:rPr>
          <w:sz w:val="22"/>
        </w:rPr>
      </w:pPr>
      <w:r w:rsidRPr="005A5C3A">
        <w:rPr>
          <w:b/>
          <w:color w:val="1A1A1A"/>
          <w:sz w:val="22"/>
        </w:rPr>
        <w:t>Apresentação do Caso:</w:t>
      </w:r>
      <w:r w:rsidRPr="005A5C3A">
        <w:rPr>
          <w:color w:val="1A1A1A"/>
          <w:sz w:val="22"/>
        </w:rPr>
        <w:t xml:space="preserve"> Foram analisados cinco casos de síndrome de Cushing ACTH-dependente ectópica submetidos à adrenalectomia bilateral, com predomínio do sexo feminino (4/5) e idade ao procedimento entre 23 e 58 anos. Em dois casos </w:t>
      </w:r>
      <w:proofErr w:type="gramStart"/>
      <w:r w:rsidRPr="005A5C3A">
        <w:rPr>
          <w:color w:val="1A1A1A"/>
          <w:sz w:val="22"/>
        </w:rPr>
        <w:t>a</w:t>
      </w:r>
      <w:proofErr w:type="gramEnd"/>
      <w:r w:rsidRPr="005A5C3A">
        <w:rPr>
          <w:color w:val="1A1A1A"/>
          <w:sz w:val="22"/>
        </w:rPr>
        <w:t xml:space="preserve"> etiologia foi identificada, correspondendo a tumor pancreático produtor de ACTH e carcinoide tímico; nos demais, o sítio primário permaneceu não identificado. </w:t>
      </w:r>
      <w:proofErr w:type="gramStart"/>
      <w:r w:rsidRPr="005A5C3A">
        <w:rPr>
          <w:color w:val="1A1A1A"/>
          <w:sz w:val="22"/>
        </w:rPr>
        <w:t>A</w:t>
      </w:r>
      <w:proofErr w:type="gramEnd"/>
      <w:r w:rsidRPr="005A5C3A">
        <w:rPr>
          <w:color w:val="1A1A1A"/>
          <w:sz w:val="22"/>
        </w:rPr>
        <w:t xml:space="preserve"> adrenalectomia foi realizada de forma sincrônica em três pacientes e diacrônica em dois. O tempo de seguimento variou de 3 a 28 anos. Todos permaneceram em reposição crônica com glicocorticoide e mineralocorticoide. Houve suspeita de tecido adrenal remanescente em dois casos, sem confirmação por imagem. Do ponto de vista adrenal, </w:t>
      </w:r>
      <w:proofErr w:type="gramStart"/>
      <w:r w:rsidRPr="005A5C3A">
        <w:rPr>
          <w:color w:val="1A1A1A"/>
          <w:sz w:val="22"/>
        </w:rPr>
        <w:t>a</w:t>
      </w:r>
      <w:proofErr w:type="gramEnd"/>
      <w:r w:rsidRPr="005A5C3A">
        <w:rPr>
          <w:color w:val="1A1A1A"/>
          <w:sz w:val="22"/>
        </w:rPr>
        <w:t xml:space="preserve"> evolução foi estável, sem intercorrências significativas na maioria dos casos. Quatro pacientes evoluíram para óbito relacionado à doença de base entre 4 e 11 anos após o procedimento, e um permanece em acompanhamento ambulatorial regular. </w:t>
      </w:r>
      <w:r w:rsidRPr="005A5C3A">
        <w:rPr>
          <w:b/>
          <w:color w:val="1A1A1A"/>
          <w:sz w:val="22"/>
        </w:rPr>
        <w:t xml:space="preserve">Discussão: </w:t>
      </w:r>
      <w:r w:rsidRPr="005A5C3A">
        <w:rPr>
          <w:color w:val="1A1A1A"/>
          <w:sz w:val="22"/>
        </w:rPr>
        <w:t xml:space="preserve">A adrenalectomia bilateral é reconhecida como medida eficaz para controle definitivo do hipercortisolismo na síndrome de ACTH ectópico, sobretudo em casos de secreção oculta ou metastática. Nesta casuística, o longo seguimento reforça esse papel, com manutenção do controle do hipercortisolismo e estabilidade clínica do ponto de vista adrenal em todos os pacientes. Esses achados são compatíveis com a literatura, na qual série de 76 pacientes com tumores neuroendócrinos secretores de ACTH demonstrou remissão do hipercortisolismo em todos os 23 submetidos à adrenalectomia bilateral por falha do tratamento medicamentoso. Tecido adrenal remanescente é descrito em 3% a 34% dos casos, enquanto recidiva clínica permanece incomum. Nos casos apresentados, essa suspeita ocorreu em dois pacientes, sem confirmação por imagem. </w:t>
      </w:r>
      <w:r w:rsidRPr="005A5C3A">
        <w:rPr>
          <w:b/>
          <w:color w:val="1A1A1A"/>
          <w:sz w:val="22"/>
        </w:rPr>
        <w:t xml:space="preserve">Considerações finais: </w:t>
      </w:r>
      <w:r w:rsidRPr="005A5C3A">
        <w:rPr>
          <w:color w:val="1A1A1A"/>
          <w:sz w:val="22"/>
        </w:rPr>
        <w:t xml:space="preserve">A casuística apresentada reforça </w:t>
      </w:r>
      <w:proofErr w:type="gramStart"/>
      <w:r w:rsidRPr="005A5C3A">
        <w:rPr>
          <w:color w:val="1A1A1A"/>
          <w:sz w:val="22"/>
        </w:rPr>
        <w:t>a</w:t>
      </w:r>
      <w:proofErr w:type="gramEnd"/>
      <w:r w:rsidRPr="005A5C3A">
        <w:rPr>
          <w:color w:val="1A1A1A"/>
          <w:sz w:val="22"/>
        </w:rPr>
        <w:t xml:space="preserve"> adrenalectomia bilateral como alternativa terapêutica segura e eficaz no manejo da síndrome de Cushing por ACTH ectópico, especialmente quando o tumor primário não é identificado ou quando o controle medicamentoso é insuficiente. O seguimento prolongado evidencia possibilidade de evolução estável com reposição hormonal individualizada e acompanhamento regular. Nessa população, a condução multidisciplinar segue sendo essencial para o controle clínico e monitoramento evolutivo.</w:t>
      </w:r>
    </w:p>
    <w:p w:rsidR="000B5910" w:rsidRDefault="000B5910">
      <w:pPr>
        <w:pBdr>
          <w:bottom w:val="single" w:sz="4" w:space="2" w:color="808080"/>
        </w:pBdr>
        <w:spacing w:before="160" w:after="40"/>
      </w:pPr>
    </w:p>
    <w:p w:rsidR="000B5910" w:rsidRPr="005A5C3A" w:rsidRDefault="00057F5C">
      <w:pPr>
        <w:spacing w:after="0" w:line="252" w:lineRule="auto"/>
        <w:rPr>
          <w:sz w:val="16"/>
          <w:szCs w:val="16"/>
        </w:rPr>
      </w:pPr>
      <w:r w:rsidRPr="005A5C3A">
        <w:rPr>
          <w:color w:val="595959"/>
          <w:sz w:val="16"/>
          <w:szCs w:val="16"/>
          <w:vertAlign w:val="superscript"/>
        </w:rPr>
        <w:t>1</w:t>
      </w:r>
      <w:r w:rsidRPr="005A5C3A">
        <w:rPr>
          <w:color w:val="595959"/>
          <w:sz w:val="16"/>
          <w:szCs w:val="16"/>
        </w:rPr>
        <w:t xml:space="preserve"> Hospital de Clinicas de Porto Alegre</w:t>
      </w:r>
    </w:p>
    <w:p w:rsidR="000B5910" w:rsidRDefault="000B5910">
      <w:pPr>
        <w:sectPr w:rsidR="000B5910">
          <w:headerReference w:type="default" r:id="rId19"/>
          <w:footerReference w:type="default" r:id="rId20"/>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HIPERCORTISOLISMO AUTÔNOMO LEVE E RISCO CARDIOMETABÓLICO: DEVEMOS AMPLIAR O RASTREIO?</w:t>
      </w:r>
    </w:p>
    <w:p w:rsidR="000B5910" w:rsidRPr="003D109D" w:rsidRDefault="00057F5C">
      <w:pPr>
        <w:spacing w:after="40" w:line="252" w:lineRule="auto"/>
        <w:jc w:val="right"/>
        <w:rPr>
          <w:szCs w:val="21"/>
        </w:rPr>
      </w:pPr>
      <w:r w:rsidRPr="003D109D">
        <w:rPr>
          <w:color w:val="1A1A1A"/>
          <w:szCs w:val="21"/>
        </w:rPr>
        <w:t>Antônia Beltrão Lança</w:t>
      </w:r>
      <w:r w:rsidRPr="003D109D">
        <w:rPr>
          <w:color w:val="1A1A1A"/>
          <w:szCs w:val="21"/>
          <w:vertAlign w:val="superscript"/>
        </w:rPr>
        <w:t>1</w:t>
      </w:r>
      <w:r w:rsidRPr="003D109D">
        <w:rPr>
          <w:szCs w:val="21"/>
        </w:rPr>
        <w:br/>
      </w:r>
      <w:r w:rsidRPr="003D109D">
        <w:rPr>
          <w:color w:val="1A1A1A"/>
          <w:szCs w:val="21"/>
        </w:rPr>
        <w:t>Júlia Conter Nunes</w:t>
      </w:r>
      <w:r w:rsidRPr="003D109D">
        <w:rPr>
          <w:color w:val="1A1A1A"/>
          <w:szCs w:val="21"/>
          <w:vertAlign w:val="superscript"/>
        </w:rPr>
        <w:t>1</w:t>
      </w:r>
      <w:r w:rsidRPr="003D109D">
        <w:rPr>
          <w:szCs w:val="21"/>
        </w:rPr>
        <w:br/>
      </w:r>
      <w:r w:rsidRPr="003D109D">
        <w:rPr>
          <w:color w:val="1A1A1A"/>
          <w:szCs w:val="21"/>
        </w:rPr>
        <w:t>Matheus Coelho Brasco</w:t>
      </w:r>
      <w:r w:rsidRPr="003D109D">
        <w:rPr>
          <w:color w:val="1A1A1A"/>
          <w:szCs w:val="21"/>
          <w:vertAlign w:val="superscript"/>
        </w:rPr>
        <w:t>1</w:t>
      </w:r>
      <w:r w:rsidRPr="003D109D">
        <w:rPr>
          <w:szCs w:val="21"/>
        </w:rPr>
        <w:br/>
      </w:r>
      <w:r w:rsidRPr="003D109D">
        <w:rPr>
          <w:color w:val="1A1A1A"/>
          <w:szCs w:val="21"/>
        </w:rPr>
        <w:t>Nur Abdalla Juma Abdel Hamid</w:t>
      </w:r>
      <w:r w:rsidRPr="003D109D">
        <w:rPr>
          <w:color w:val="1A1A1A"/>
          <w:szCs w:val="21"/>
          <w:vertAlign w:val="superscript"/>
        </w:rPr>
        <w:t>1</w:t>
      </w:r>
      <w:r w:rsidRPr="003D109D">
        <w:rPr>
          <w:szCs w:val="21"/>
        </w:rPr>
        <w:br/>
      </w:r>
      <w:r w:rsidRPr="003D109D">
        <w:rPr>
          <w:color w:val="1A1A1A"/>
          <w:szCs w:val="21"/>
        </w:rPr>
        <w:t>Murilo Gonçalves Braga</w:t>
      </w:r>
      <w:r w:rsidRPr="003D109D">
        <w:rPr>
          <w:color w:val="1A1A1A"/>
          <w:szCs w:val="21"/>
          <w:vertAlign w:val="superscript"/>
        </w:rPr>
        <w:t>1</w:t>
      </w:r>
      <w:r w:rsidRPr="003D109D">
        <w:rPr>
          <w:szCs w:val="21"/>
        </w:rPr>
        <w:br/>
      </w:r>
      <w:r w:rsidRPr="003D109D">
        <w:rPr>
          <w:color w:val="1A1A1A"/>
          <w:szCs w:val="21"/>
        </w:rPr>
        <w:t>Antônia dos Santos Bobrowski</w:t>
      </w:r>
      <w:r w:rsidRPr="003D109D">
        <w:rPr>
          <w:color w:val="1A1A1A"/>
          <w:szCs w:val="21"/>
          <w:vertAlign w:val="superscript"/>
        </w:rPr>
        <w:t>1</w:t>
      </w:r>
      <w:r w:rsidRPr="003D109D">
        <w:rPr>
          <w:szCs w:val="21"/>
        </w:rPr>
        <w:br/>
      </w:r>
      <w:r w:rsidRPr="003D109D">
        <w:rPr>
          <w:color w:val="1A1A1A"/>
          <w:szCs w:val="21"/>
        </w:rPr>
        <w:t>Valentina Dall’Agnol Roman</w:t>
      </w:r>
      <w:r w:rsidRPr="003D109D">
        <w:rPr>
          <w:color w:val="1A1A1A"/>
          <w:szCs w:val="21"/>
          <w:vertAlign w:val="superscript"/>
        </w:rPr>
        <w:t>1</w:t>
      </w:r>
      <w:r w:rsidRPr="003D109D">
        <w:rPr>
          <w:szCs w:val="21"/>
        </w:rPr>
        <w:br/>
      </w:r>
      <w:r w:rsidRPr="003D109D">
        <w:rPr>
          <w:color w:val="1A1A1A"/>
          <w:szCs w:val="21"/>
        </w:rPr>
        <w:t>Inácio Kehl</w:t>
      </w:r>
      <w:r w:rsidRPr="003D109D">
        <w:rPr>
          <w:color w:val="1A1A1A"/>
          <w:szCs w:val="21"/>
          <w:vertAlign w:val="superscript"/>
        </w:rPr>
        <w:t>1</w:t>
      </w:r>
      <w:r w:rsidRPr="003D109D">
        <w:rPr>
          <w:szCs w:val="21"/>
        </w:rPr>
        <w:br/>
      </w:r>
      <w:r w:rsidRPr="003D109D">
        <w:rPr>
          <w:color w:val="1A1A1A"/>
          <w:szCs w:val="21"/>
        </w:rPr>
        <w:t>Leonardo Silveira Bastolla</w:t>
      </w:r>
      <w:r w:rsidRPr="003D109D">
        <w:rPr>
          <w:color w:val="1A1A1A"/>
          <w:szCs w:val="21"/>
          <w:vertAlign w:val="superscript"/>
        </w:rPr>
        <w:t>1</w:t>
      </w:r>
      <w:r w:rsidRPr="003D109D">
        <w:rPr>
          <w:szCs w:val="21"/>
        </w:rPr>
        <w:br/>
      </w:r>
      <w:r w:rsidRPr="003D109D">
        <w:rPr>
          <w:color w:val="1A1A1A"/>
          <w:szCs w:val="21"/>
        </w:rPr>
        <w:t>Marco Antônio Brugnarotto Galvan</w:t>
      </w:r>
      <w:r w:rsidRPr="003D109D">
        <w:rPr>
          <w:color w:val="1A1A1A"/>
          <w:szCs w:val="21"/>
          <w:vertAlign w:val="superscript"/>
        </w:rPr>
        <w:t>1</w:t>
      </w:r>
      <w:r w:rsidRPr="003D109D">
        <w:rPr>
          <w:szCs w:val="21"/>
        </w:rPr>
        <w:br/>
      </w:r>
      <w:r w:rsidRPr="003D109D">
        <w:rPr>
          <w:color w:val="1A1A1A"/>
          <w:szCs w:val="21"/>
        </w:rPr>
        <w:t>Helena Uchôa</w:t>
      </w:r>
      <w:r w:rsidRPr="003D109D">
        <w:rPr>
          <w:color w:val="1A1A1A"/>
          <w:szCs w:val="21"/>
          <w:vertAlign w:val="superscript"/>
        </w:rPr>
        <w:t>1</w:t>
      </w:r>
      <w:r w:rsidRPr="003D109D">
        <w:rPr>
          <w:szCs w:val="21"/>
        </w:rPr>
        <w:br/>
      </w:r>
      <w:r w:rsidRPr="003D109D">
        <w:rPr>
          <w:color w:val="1A1A1A"/>
          <w:szCs w:val="21"/>
        </w:rPr>
        <w:t>Márcio Cruvinel Barbosa de Macêdo</w:t>
      </w:r>
      <w:r w:rsidRPr="003D109D">
        <w:rPr>
          <w:color w:val="1A1A1A"/>
          <w:szCs w:val="21"/>
          <w:vertAlign w:val="superscript"/>
        </w:rPr>
        <w:t>1</w:t>
      </w:r>
    </w:p>
    <w:p w:rsidR="000B5910" w:rsidRDefault="00057F5C">
      <w:pPr>
        <w:spacing w:before="200" w:after="100"/>
        <w:rPr>
          <w:sz w:val="22"/>
        </w:rPr>
      </w:pPr>
      <w:r>
        <w:rPr>
          <w:b/>
          <w:color w:val="1A1A1A"/>
          <w:sz w:val="22"/>
        </w:rPr>
        <w:t>RESUMO</w:t>
      </w:r>
    </w:p>
    <w:p w:rsidR="000B5910" w:rsidRPr="003D109D" w:rsidRDefault="00057F5C">
      <w:pPr>
        <w:spacing w:after="80" w:line="264" w:lineRule="auto"/>
        <w:jc w:val="both"/>
        <w:rPr>
          <w:sz w:val="22"/>
          <w:szCs w:val="21"/>
        </w:rPr>
      </w:pPr>
      <w:r w:rsidRPr="003D109D">
        <w:rPr>
          <w:b/>
          <w:color w:val="1A1A1A"/>
          <w:sz w:val="22"/>
          <w:szCs w:val="21"/>
        </w:rPr>
        <w:t>Introdução:</w:t>
      </w:r>
      <w:r w:rsidRPr="003D109D">
        <w:rPr>
          <w:color w:val="1A1A1A"/>
          <w:sz w:val="22"/>
          <w:szCs w:val="21"/>
        </w:rPr>
        <w:t xml:space="preserve"> O hipercortisolismo autônomo leve (MACS), frequentemente identificado em pacientes com incidentaloma adrenal, tem ganhado relevância clínica nas últimas décadas. Tradicionalmente considerado uma condição subclínica e de baixo impacto, evidências recentes sugerem que pequenas elevações crônicas de cortisol podem estar associadas </w:t>
      </w:r>
      <w:proofErr w:type="gramStart"/>
      <w:r w:rsidRPr="003D109D">
        <w:rPr>
          <w:color w:val="1A1A1A"/>
          <w:sz w:val="22"/>
          <w:szCs w:val="21"/>
        </w:rPr>
        <w:t>a</w:t>
      </w:r>
      <w:proofErr w:type="gramEnd"/>
      <w:r w:rsidRPr="003D109D">
        <w:rPr>
          <w:color w:val="1A1A1A"/>
          <w:sz w:val="22"/>
          <w:szCs w:val="21"/>
        </w:rPr>
        <w:t xml:space="preserve"> alterações metabólicas e cardiovasculares, mesmo na ausência de sinais clássicos da síndrome de Cushing. Diante disso, questiona-se a real benignidade dessa condição e a necessidade de melhor compreensão do risco cardiometabólico associado.</w:t>
      </w:r>
      <w:r w:rsidRPr="003D109D">
        <w:rPr>
          <w:b/>
          <w:color w:val="1A1A1A"/>
          <w:sz w:val="22"/>
          <w:szCs w:val="21"/>
        </w:rPr>
        <w:t xml:space="preserve"> Objetivo: </w:t>
      </w:r>
      <w:r w:rsidRPr="003D109D">
        <w:rPr>
          <w:color w:val="1A1A1A"/>
          <w:sz w:val="22"/>
          <w:szCs w:val="21"/>
        </w:rPr>
        <w:t>Avaliar a associação entre MACS e risco cardiometabólico, bem como suas implicações clínicas e a necessidade de ampliação do rastreio.</w:t>
      </w:r>
      <w:r w:rsidRPr="003D109D">
        <w:rPr>
          <w:b/>
          <w:color w:val="1A1A1A"/>
          <w:sz w:val="22"/>
          <w:szCs w:val="21"/>
        </w:rPr>
        <w:t xml:space="preserve"> Métodos:</w:t>
      </w:r>
      <w:r w:rsidRPr="003D109D">
        <w:rPr>
          <w:color w:val="1A1A1A"/>
          <w:sz w:val="22"/>
          <w:szCs w:val="21"/>
        </w:rPr>
        <w:t xml:space="preserve"> Foi realizada revisão da literatura na base PubMed utilizando os descritores "mild autonomous cortisol secretion", "subclinical hypercortisolism" e termos relacionados ao risco cardiometabólico. Foram incluídos estudos originais que avaliaram essa associação em pacientes com incidentaloma adrenal, sendo excluídas revisões e meta-análises. Ao final, 8 estudos foram selecionados. </w:t>
      </w:r>
      <w:r w:rsidRPr="003D109D">
        <w:rPr>
          <w:b/>
          <w:color w:val="1A1A1A"/>
          <w:sz w:val="22"/>
          <w:szCs w:val="21"/>
        </w:rPr>
        <w:t>Resultados:</w:t>
      </w:r>
      <w:r w:rsidRPr="003D109D">
        <w:rPr>
          <w:color w:val="1A1A1A"/>
          <w:sz w:val="22"/>
          <w:szCs w:val="21"/>
        </w:rPr>
        <w:t xml:space="preserve"> Os estudos demonstram que o MACS está associado </w:t>
      </w:r>
      <w:proofErr w:type="gramStart"/>
      <w:r w:rsidRPr="003D109D">
        <w:rPr>
          <w:color w:val="1A1A1A"/>
          <w:sz w:val="22"/>
          <w:szCs w:val="21"/>
        </w:rPr>
        <w:t>a</w:t>
      </w:r>
      <w:proofErr w:type="gramEnd"/>
      <w:r w:rsidRPr="003D109D">
        <w:rPr>
          <w:color w:val="1A1A1A"/>
          <w:sz w:val="22"/>
          <w:szCs w:val="21"/>
        </w:rPr>
        <w:t xml:space="preserve"> um perfil cardiometabólico desfavorável, com maior prevalência de diabetes mellitus tipo 2, dislipidemia e alterações no metabolismo lipídico. Também foram observadas alterações cardiovasculares, incluindo remodelamento cardíaco, disfunção diastólica e aumento da rigidez arterial, mesmo na ausência de doença cardiovascular estabelecida. Ademais, foram observadas alterações metabólicas e inflamatórias sistêmicas, sugerindo estado de lipotoxicidade. Entretanto, os achados não são homogêneos, com alguns estudos evidenciando maior impacto no metabolismo glicêmico, sem alterações consistentes em outros marcadores tradicionais. Essa variabilidade sugere expressão individualizada do risco. </w:t>
      </w:r>
      <w:r w:rsidRPr="003D109D">
        <w:rPr>
          <w:b/>
          <w:color w:val="1A1A1A"/>
          <w:sz w:val="22"/>
          <w:szCs w:val="21"/>
        </w:rPr>
        <w:t xml:space="preserve">Conclusão: </w:t>
      </w:r>
      <w:r w:rsidRPr="003D109D">
        <w:rPr>
          <w:color w:val="1A1A1A"/>
          <w:sz w:val="22"/>
          <w:szCs w:val="21"/>
        </w:rPr>
        <w:t xml:space="preserve">O MACS está associado </w:t>
      </w:r>
      <w:proofErr w:type="gramStart"/>
      <w:r w:rsidRPr="003D109D">
        <w:rPr>
          <w:color w:val="1A1A1A"/>
          <w:sz w:val="22"/>
          <w:szCs w:val="21"/>
        </w:rPr>
        <w:t>a</w:t>
      </w:r>
      <w:proofErr w:type="gramEnd"/>
      <w:r w:rsidRPr="003D109D">
        <w:rPr>
          <w:color w:val="1A1A1A"/>
          <w:sz w:val="22"/>
          <w:szCs w:val="21"/>
        </w:rPr>
        <w:t xml:space="preserve"> alterações cardiometabólicas relevantes, ainda que de forma heterogênea entre os indivíduos. Esses achados reforçam que a condição não deve ser considerada totalmente benigna, sugerindo </w:t>
      </w:r>
      <w:proofErr w:type="gramStart"/>
      <w:r w:rsidRPr="003D109D">
        <w:rPr>
          <w:color w:val="1A1A1A"/>
          <w:sz w:val="22"/>
          <w:szCs w:val="21"/>
        </w:rPr>
        <w:t>a</w:t>
      </w:r>
      <w:proofErr w:type="gramEnd"/>
      <w:r w:rsidRPr="003D109D">
        <w:rPr>
          <w:color w:val="1A1A1A"/>
          <w:sz w:val="22"/>
          <w:szCs w:val="21"/>
        </w:rPr>
        <w:t xml:space="preserve"> importância de avaliação clínica mais cuidadosa e potencial benefício de estratégias de rastreio direcionadas.</w:t>
      </w:r>
      <w:r w:rsidRPr="003D109D">
        <w:rPr>
          <w:b/>
          <w:color w:val="1A1A1A"/>
          <w:sz w:val="22"/>
          <w:szCs w:val="21"/>
        </w:rPr>
        <w:t xml:space="preserve"> </w:t>
      </w:r>
    </w:p>
    <w:p w:rsidR="000B5910" w:rsidRDefault="000B5910">
      <w:pPr>
        <w:pBdr>
          <w:bottom w:val="single" w:sz="4" w:space="2" w:color="808080"/>
        </w:pBdr>
        <w:spacing w:before="120" w:after="40"/>
      </w:pPr>
    </w:p>
    <w:p w:rsidR="000B5910" w:rsidRPr="003D109D" w:rsidRDefault="00057F5C">
      <w:pPr>
        <w:spacing w:after="0" w:line="252" w:lineRule="auto"/>
        <w:rPr>
          <w:sz w:val="16"/>
          <w:szCs w:val="16"/>
        </w:rPr>
      </w:pPr>
      <w:r w:rsidRPr="003D109D">
        <w:rPr>
          <w:color w:val="595959"/>
          <w:sz w:val="16"/>
          <w:szCs w:val="16"/>
          <w:vertAlign w:val="superscript"/>
        </w:rPr>
        <w:t>1</w:t>
      </w:r>
      <w:r w:rsidRPr="003D109D">
        <w:rPr>
          <w:color w:val="595959"/>
          <w:sz w:val="16"/>
          <w:szCs w:val="16"/>
        </w:rPr>
        <w:t xml:space="preserve"> Pontifícia Universidade Católica do Rio Grande do Sul</w:t>
      </w:r>
    </w:p>
    <w:p w:rsidR="000B5910" w:rsidRDefault="000B5910">
      <w:pPr>
        <w:sectPr w:rsidR="000B5910">
          <w:headerReference w:type="default" r:id="rId21"/>
          <w:footerReference w:type="default" r:id="rId2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PREVALÊNCIA DE NEUROPATIA DIABÉTICA E FATORES ASSOCIADOS EM AMBULATÓRIO DE ENDOCRINOLOGIA: UM ESTUDO OBSERVACIONAL TRANSVERSAL</w:t>
      </w:r>
    </w:p>
    <w:p w:rsidR="000B5910" w:rsidRPr="003D109D" w:rsidRDefault="00057F5C">
      <w:pPr>
        <w:spacing w:after="40" w:line="252" w:lineRule="auto"/>
        <w:jc w:val="right"/>
        <w:rPr>
          <w:szCs w:val="21"/>
        </w:rPr>
      </w:pPr>
      <w:r w:rsidRPr="003D109D">
        <w:rPr>
          <w:color w:val="1A1A1A"/>
          <w:szCs w:val="21"/>
        </w:rPr>
        <w:t>Matheus Ribeiro Finetti</w:t>
      </w:r>
      <w:r w:rsidRPr="003D109D">
        <w:rPr>
          <w:color w:val="1A1A1A"/>
          <w:szCs w:val="21"/>
          <w:vertAlign w:val="superscript"/>
        </w:rPr>
        <w:t>1</w:t>
      </w:r>
      <w:r w:rsidRPr="003D109D">
        <w:rPr>
          <w:szCs w:val="21"/>
        </w:rPr>
        <w:br/>
      </w:r>
      <w:r w:rsidRPr="003D109D">
        <w:rPr>
          <w:color w:val="1A1A1A"/>
          <w:szCs w:val="21"/>
        </w:rPr>
        <w:t>Mariana Rosso Schimuneck</w:t>
      </w:r>
      <w:r w:rsidRPr="003D109D">
        <w:rPr>
          <w:color w:val="1A1A1A"/>
          <w:szCs w:val="21"/>
          <w:vertAlign w:val="superscript"/>
        </w:rPr>
        <w:t>1</w:t>
      </w:r>
      <w:r w:rsidRPr="003D109D">
        <w:rPr>
          <w:szCs w:val="21"/>
        </w:rPr>
        <w:br/>
      </w:r>
      <w:r w:rsidRPr="003D109D">
        <w:rPr>
          <w:color w:val="1A1A1A"/>
          <w:szCs w:val="21"/>
        </w:rPr>
        <w:t>Jivago da Fonseca Lopes</w:t>
      </w:r>
      <w:r w:rsidRPr="003D109D">
        <w:rPr>
          <w:color w:val="1A1A1A"/>
          <w:szCs w:val="21"/>
          <w:vertAlign w:val="superscript"/>
        </w:rPr>
        <w:t>1</w:t>
      </w:r>
      <w:r w:rsidRPr="003D109D">
        <w:rPr>
          <w:szCs w:val="21"/>
        </w:rPr>
        <w:br/>
      </w:r>
      <w:r w:rsidRPr="003D109D">
        <w:rPr>
          <w:color w:val="1A1A1A"/>
          <w:szCs w:val="21"/>
        </w:rPr>
        <w:t>Camila Jardim de Almeida</w:t>
      </w:r>
      <w:r w:rsidRPr="003D109D">
        <w:rPr>
          <w:color w:val="1A1A1A"/>
          <w:szCs w:val="21"/>
          <w:vertAlign w:val="superscript"/>
        </w:rPr>
        <w:t>1</w:t>
      </w:r>
      <w:r w:rsidRPr="003D109D">
        <w:rPr>
          <w:szCs w:val="21"/>
        </w:rPr>
        <w:br/>
      </w:r>
      <w:r w:rsidRPr="003D109D">
        <w:rPr>
          <w:color w:val="1A1A1A"/>
          <w:szCs w:val="21"/>
        </w:rPr>
        <w:t>Bruna Muraro Vanassi</w:t>
      </w:r>
      <w:r w:rsidRPr="003D109D">
        <w:rPr>
          <w:color w:val="1A1A1A"/>
          <w:szCs w:val="21"/>
          <w:vertAlign w:val="superscript"/>
        </w:rPr>
        <w:t>1</w:t>
      </w:r>
    </w:p>
    <w:p w:rsidR="000B5910" w:rsidRPr="003D109D" w:rsidRDefault="00057F5C">
      <w:pPr>
        <w:spacing w:before="240" w:after="100"/>
        <w:rPr>
          <w:sz w:val="22"/>
        </w:rPr>
      </w:pPr>
      <w:r w:rsidRPr="003D109D">
        <w:rPr>
          <w:b/>
          <w:color w:val="1A1A1A"/>
          <w:sz w:val="22"/>
        </w:rPr>
        <w:t>RESUMO</w:t>
      </w:r>
    </w:p>
    <w:p w:rsidR="000B5910" w:rsidRPr="003D109D" w:rsidRDefault="00057F5C">
      <w:pPr>
        <w:spacing w:after="80"/>
        <w:jc w:val="both"/>
        <w:rPr>
          <w:sz w:val="22"/>
        </w:rPr>
      </w:pPr>
      <w:r w:rsidRPr="003D109D">
        <w:rPr>
          <w:b/>
          <w:color w:val="1A1A1A"/>
          <w:sz w:val="22"/>
        </w:rPr>
        <w:t xml:space="preserve">Introdução: </w:t>
      </w:r>
      <w:r w:rsidRPr="003D109D">
        <w:rPr>
          <w:color w:val="1A1A1A"/>
          <w:sz w:val="22"/>
        </w:rPr>
        <w:t>O diabetes mellitus constitui importante problema de saúde pública em virtude de suas complicações crônicas. Entre elas, a neuropatia diabética consiste na perda da integridade de feixes nervosos longos que predispõem lesões em membros inferiores devido à diminuição da sensibilidade. Tal fato impacta na qualidade de vida do paciente e está associada a risco aumentado de úlceras e amputações.</w:t>
      </w:r>
      <w:r w:rsidRPr="003D109D">
        <w:rPr>
          <w:b/>
          <w:color w:val="1A1A1A"/>
          <w:sz w:val="22"/>
        </w:rPr>
        <w:t xml:space="preserve"> Objetivo: </w:t>
      </w:r>
      <w:r w:rsidRPr="003D109D">
        <w:rPr>
          <w:color w:val="1A1A1A"/>
          <w:sz w:val="22"/>
        </w:rPr>
        <w:t>Avaliar a prevalência de neuropatia diabética em pacientes com diabetes mellitus atendidos em ambulatório de endocrinologia e analisar sua associação com idade, sexo e tempo de doença.</w:t>
      </w:r>
      <w:r w:rsidRPr="003D109D">
        <w:rPr>
          <w:b/>
          <w:color w:val="1A1A1A"/>
          <w:sz w:val="22"/>
        </w:rPr>
        <w:t xml:space="preserve"> Métodos: </w:t>
      </w:r>
      <w:r w:rsidRPr="003D109D">
        <w:rPr>
          <w:color w:val="1A1A1A"/>
          <w:sz w:val="22"/>
        </w:rPr>
        <w:t>Foi realizado um estudo observacional transversal de 43 pacientes com diabetes mellitus atendidos entre novembro de 2025 e fevereiro de 2026, avaliados quanto à presença e gravidade de neuropatia diabética por escore validado (Escore de Comprometimento Neuropático – ECN</w:t>
      </w:r>
      <w:proofErr w:type="gramStart"/>
      <w:r w:rsidRPr="003D109D">
        <w:rPr>
          <w:color w:val="1A1A1A"/>
          <w:sz w:val="22"/>
        </w:rPr>
        <w:t>).Foram</w:t>
      </w:r>
      <w:proofErr w:type="gramEnd"/>
      <w:r w:rsidRPr="003D109D">
        <w:rPr>
          <w:color w:val="1A1A1A"/>
          <w:sz w:val="22"/>
        </w:rPr>
        <w:t xml:space="preserve"> coletadas idade, sexo e tempo de diagnóstico. Realizou-se análise descritiva, comparação entre grupos por teste t para variáveis contínuas e qui-quadrado para categóricas e regressão logística para identificação de fatores associados à neuropatia, considerando-se p&lt;0,05. </w:t>
      </w:r>
      <w:r w:rsidRPr="003D109D">
        <w:rPr>
          <w:b/>
          <w:color w:val="1A1A1A"/>
          <w:sz w:val="22"/>
        </w:rPr>
        <w:t xml:space="preserve">Resultados: </w:t>
      </w:r>
      <w:r w:rsidRPr="003D109D">
        <w:rPr>
          <w:color w:val="1A1A1A"/>
          <w:sz w:val="22"/>
        </w:rPr>
        <w:t xml:space="preserve">A média de idade foi 63,1±11,4 anos e o tempo médio de diabetes 19,4±9,1 anos; 55,8% eram do sexo feminino. A prevalência de neuropatia diabética foi 72,1%, com predominância de formas leves (48,8%), seguidas de moderadas (18,6%) e severas (4,7%). Não houve associação estatisticamente significativa entre neuropatia e idade (p=0,77), tempo de diabetes (p=0,12) ou sexo (p=0,82). Na regressão logística, nenhuma variável permaneceu associada ao desfecho. </w:t>
      </w:r>
      <w:r w:rsidRPr="003D109D">
        <w:rPr>
          <w:b/>
          <w:color w:val="1A1A1A"/>
          <w:sz w:val="22"/>
        </w:rPr>
        <w:t xml:space="preserve">Conclusão: </w:t>
      </w:r>
      <w:r w:rsidRPr="003D109D">
        <w:rPr>
          <w:color w:val="1A1A1A"/>
          <w:sz w:val="22"/>
        </w:rPr>
        <w:t xml:space="preserve">Observou-se elevada prevalência de neuropatia diabética na população estudada, predominando formas leves. Não foram identificados fatores clínicos associados, possivelmente em decorrência do tamanho amostral limitado. Os achados reforçam </w:t>
      </w:r>
      <w:proofErr w:type="gramStart"/>
      <w:r w:rsidRPr="003D109D">
        <w:rPr>
          <w:color w:val="1A1A1A"/>
          <w:sz w:val="22"/>
        </w:rPr>
        <w:t>a</w:t>
      </w:r>
      <w:proofErr w:type="gramEnd"/>
      <w:r w:rsidRPr="003D109D">
        <w:rPr>
          <w:color w:val="1A1A1A"/>
          <w:sz w:val="22"/>
        </w:rPr>
        <w:t xml:space="preserve"> importância do rastreamento sistemático em pacientes com diabetes mellitus.</w:t>
      </w:r>
    </w:p>
    <w:p w:rsidR="000B5910" w:rsidRDefault="000B5910">
      <w:pPr>
        <w:pBdr>
          <w:bottom w:val="single" w:sz="4" w:space="2" w:color="808080"/>
        </w:pBdr>
        <w:spacing w:before="160" w:after="40"/>
      </w:pPr>
    </w:p>
    <w:p w:rsidR="000B5910" w:rsidRPr="003D109D" w:rsidRDefault="00057F5C">
      <w:pPr>
        <w:spacing w:after="0" w:line="252" w:lineRule="auto"/>
        <w:rPr>
          <w:sz w:val="16"/>
          <w:szCs w:val="16"/>
        </w:rPr>
      </w:pPr>
      <w:r w:rsidRPr="003D109D">
        <w:rPr>
          <w:color w:val="595959"/>
          <w:sz w:val="16"/>
          <w:szCs w:val="16"/>
          <w:vertAlign w:val="superscript"/>
        </w:rPr>
        <w:t>1</w:t>
      </w:r>
      <w:r w:rsidRPr="003D109D">
        <w:rPr>
          <w:color w:val="595959"/>
          <w:sz w:val="16"/>
          <w:szCs w:val="16"/>
        </w:rPr>
        <w:t xml:space="preserve"> Universidade Federal de Pelotas</w:t>
      </w:r>
    </w:p>
    <w:p w:rsidR="000B5910" w:rsidRDefault="000B5910">
      <w:pPr>
        <w:sectPr w:rsidR="000B5910">
          <w:headerReference w:type="default" r:id="rId23"/>
          <w:footerReference w:type="default" r:id="rId2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EFEITO DOS AGONISTAS DO GLP-1 NO RISCO CARDIOVASCULAR EM PACIENTES COM DIABETES MELLITUS TIPO 2: REVISÃO SISTEMÁTICA E META-ANÁLISE</w:t>
      </w:r>
    </w:p>
    <w:p w:rsidR="000B5910" w:rsidRPr="003D109D" w:rsidRDefault="00057F5C">
      <w:pPr>
        <w:spacing w:after="40" w:line="252" w:lineRule="auto"/>
        <w:jc w:val="right"/>
        <w:rPr>
          <w:szCs w:val="21"/>
        </w:rPr>
      </w:pPr>
      <w:r w:rsidRPr="003D109D">
        <w:rPr>
          <w:color w:val="1A1A1A"/>
          <w:szCs w:val="21"/>
        </w:rPr>
        <w:t>Isabela Remor Olivo de Souza</w:t>
      </w:r>
      <w:r w:rsidRPr="003D109D">
        <w:rPr>
          <w:color w:val="1A1A1A"/>
          <w:szCs w:val="21"/>
          <w:vertAlign w:val="superscript"/>
        </w:rPr>
        <w:t>1</w:t>
      </w:r>
    </w:p>
    <w:p w:rsidR="000B5910" w:rsidRDefault="00057F5C">
      <w:pPr>
        <w:spacing w:before="240" w:after="100"/>
      </w:pPr>
      <w:r>
        <w:rPr>
          <w:b/>
          <w:color w:val="1A1A1A"/>
          <w:sz w:val="22"/>
        </w:rPr>
        <w:t>RESUMO</w:t>
      </w:r>
    </w:p>
    <w:p w:rsidR="000B5910" w:rsidRPr="003D109D" w:rsidRDefault="00057F5C">
      <w:pPr>
        <w:spacing w:after="80"/>
        <w:jc w:val="both"/>
        <w:rPr>
          <w:sz w:val="22"/>
        </w:rPr>
      </w:pPr>
      <w:r w:rsidRPr="003D109D">
        <w:rPr>
          <w:b/>
          <w:color w:val="1A1A1A"/>
          <w:sz w:val="22"/>
        </w:rPr>
        <w:t>Introdução:</w:t>
      </w:r>
      <w:r w:rsidRPr="003D109D">
        <w:rPr>
          <w:color w:val="1A1A1A"/>
          <w:sz w:val="22"/>
        </w:rPr>
        <w:t xml:space="preserve"> O GLP-1 é um peptídeo semelhante ao glucagon-1 que atua como um hormônio intestinal natural regulando a glicemia e aumentando a saciedade. Evidências crescentes apontaram o hormônio e seus agonistas, semaglutida, liraglutida e dulaglutida, como possíveis atenuadores de riscos cardiovasculares em pacientes com diabetes mellitus tipo 2. </w:t>
      </w:r>
      <w:r w:rsidRPr="003D109D">
        <w:rPr>
          <w:b/>
          <w:color w:val="1A1A1A"/>
          <w:sz w:val="22"/>
        </w:rPr>
        <w:t>Objetivo:</w:t>
      </w:r>
      <w:r w:rsidRPr="003D109D">
        <w:rPr>
          <w:color w:val="1A1A1A"/>
          <w:sz w:val="22"/>
        </w:rPr>
        <w:t xml:space="preserve"> O objetivo deste estudo foi avaliar </w:t>
      </w:r>
      <w:proofErr w:type="gramStart"/>
      <w:r w:rsidRPr="003D109D">
        <w:rPr>
          <w:color w:val="1A1A1A"/>
          <w:sz w:val="22"/>
        </w:rPr>
        <w:t>a</w:t>
      </w:r>
      <w:proofErr w:type="gramEnd"/>
      <w:r w:rsidRPr="003D109D">
        <w:rPr>
          <w:color w:val="1A1A1A"/>
          <w:sz w:val="22"/>
        </w:rPr>
        <w:t xml:space="preserve"> influência do GLP-1 e seus agonistas (GLP-1 RA) em riscos cardiovasculares no tratamento de pacientes com diabetes mellitus tipo 2. </w:t>
      </w:r>
      <w:r w:rsidRPr="003D109D">
        <w:rPr>
          <w:b/>
          <w:color w:val="1A1A1A"/>
          <w:sz w:val="22"/>
        </w:rPr>
        <w:t>Métodos:</w:t>
      </w:r>
      <w:r w:rsidRPr="003D109D">
        <w:rPr>
          <w:color w:val="1A1A1A"/>
          <w:sz w:val="22"/>
        </w:rPr>
        <w:t xml:space="preserve"> Foi realizada uma revisão sistemática e meta-análise de ensaios clínicos randomizados (ECR) efetuada para estimar o risco de eventos cardiovasculares adversos maiores (ECAM), infarto do miocárdio (IM) e incidência de acidente vascular encefálico (AVC) em pacientes com diabetes mellitus tipo 2 tratados com agonistas do GLP-1 (em comparação com o placebo). </w:t>
      </w:r>
      <w:r w:rsidRPr="003D109D">
        <w:rPr>
          <w:b/>
          <w:color w:val="1A1A1A"/>
          <w:sz w:val="22"/>
        </w:rPr>
        <w:t>Resultados:</w:t>
      </w:r>
      <w:r w:rsidRPr="003D109D">
        <w:rPr>
          <w:color w:val="1A1A1A"/>
          <w:sz w:val="22"/>
        </w:rPr>
        <w:t xml:space="preserve"> 3 Ensaios clínicos randomizados (ECR), 2 em semaglutida e 1 em dulaglutida, somando um total de 22.848 pacientes com diabetes mellitus tipo 2 (DM2), do qual 11,97% já obtinha patologia cardiovascular. Comparado ao placebo, pacientes que utilizaram os agonistas de GLP-1 demonstraram redução de eventos cardiovasculares adversos maiores (ECAM) (OR = 0.85; 95% CI 0.79 - 0.91; p&lt;0.001); não houve associação entre os agonistas do receptor de GLP-1 (GLP-1 RA) ou os agonistas duplos GIP/GLP-1 e o infarto do miocárdio fatal ou não fatal (IM) ou acidente vascular encefálico (AVC). Os eventos adversos totais, os distúrbios gastrointestinais e os distúrbios relacionados à vesícula biliar foram mais frequentes no grupo que recebeu GLP-1 RA. GLP-1 e agonistas reduzem risco cardiovascular em pacientes com diabetes mellitus tipo 2 (DM2). </w:t>
      </w:r>
      <w:r w:rsidRPr="003D109D">
        <w:rPr>
          <w:b/>
          <w:color w:val="1A1A1A"/>
          <w:sz w:val="22"/>
        </w:rPr>
        <w:t>Conclusão:</w:t>
      </w:r>
      <w:r w:rsidRPr="003D109D">
        <w:rPr>
          <w:color w:val="1A1A1A"/>
          <w:sz w:val="22"/>
        </w:rPr>
        <w:t xml:space="preserve"> Considerando que os dados sobre infarto do miocárdio fatal ou não fatal (IM) e acidente vascular encefálico (AVC) são limitados, ensaios clínicos randomizados futuros são necessários para avaliar o potencial protetor destes novos agentes.</w:t>
      </w:r>
    </w:p>
    <w:p w:rsidR="000B5910" w:rsidRDefault="000B5910">
      <w:pPr>
        <w:pBdr>
          <w:bottom w:val="single" w:sz="4" w:space="2" w:color="808080"/>
        </w:pBdr>
        <w:spacing w:before="160" w:after="40"/>
      </w:pPr>
    </w:p>
    <w:p w:rsidR="000B5910" w:rsidRPr="003D109D" w:rsidRDefault="00057F5C">
      <w:pPr>
        <w:spacing w:after="0" w:line="252" w:lineRule="auto"/>
        <w:rPr>
          <w:sz w:val="16"/>
          <w:szCs w:val="16"/>
        </w:rPr>
      </w:pPr>
      <w:r w:rsidRPr="003D109D">
        <w:rPr>
          <w:color w:val="595959"/>
          <w:sz w:val="16"/>
          <w:szCs w:val="16"/>
          <w:vertAlign w:val="superscript"/>
        </w:rPr>
        <w:t>1</w:t>
      </w:r>
      <w:r w:rsidRPr="003D109D">
        <w:rPr>
          <w:color w:val="595959"/>
          <w:sz w:val="16"/>
          <w:szCs w:val="16"/>
        </w:rPr>
        <w:t xml:space="preserve"> Universidade Feevale</w:t>
      </w:r>
    </w:p>
    <w:p w:rsidR="000B5910" w:rsidRDefault="000B5910">
      <w:pPr>
        <w:sectPr w:rsidR="000B5910">
          <w:headerReference w:type="default" r:id="rId25"/>
          <w:footerReference w:type="default" r:id="rId2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PERFIL EPIDEMIOLÓGICO DA MORTALIDADE POR DIABETES MELLITUS INSULINO-DEPENDENTE EM CAXIAS DO SUL (RS): ESTUDO ECOLÓGICO (2021-2025)</w:t>
      </w:r>
    </w:p>
    <w:p w:rsidR="000B5910" w:rsidRDefault="00057F5C">
      <w:pPr>
        <w:spacing w:after="40" w:line="252" w:lineRule="auto"/>
        <w:jc w:val="right"/>
      </w:pPr>
      <w:r>
        <w:rPr>
          <w:color w:val="1A1A1A"/>
          <w:sz w:val="20"/>
        </w:rPr>
        <w:t>Larissa Miri Lorenzini</w:t>
      </w:r>
      <w:r>
        <w:rPr>
          <w:color w:val="1A1A1A"/>
          <w:sz w:val="13"/>
          <w:vertAlign w:val="superscript"/>
        </w:rPr>
        <w:t>1</w:t>
      </w:r>
      <w:r>
        <w:br/>
      </w:r>
      <w:r>
        <w:rPr>
          <w:color w:val="1A1A1A"/>
          <w:sz w:val="20"/>
        </w:rPr>
        <w:t>Maria Fernanda Bassani Nácul</w:t>
      </w:r>
      <w:r>
        <w:rPr>
          <w:color w:val="1A1A1A"/>
          <w:sz w:val="13"/>
          <w:vertAlign w:val="superscript"/>
        </w:rPr>
        <w:t>1</w:t>
      </w:r>
      <w:r>
        <w:br/>
      </w:r>
      <w:r>
        <w:rPr>
          <w:color w:val="1A1A1A"/>
          <w:sz w:val="20"/>
        </w:rPr>
        <w:t>Matheus Parisenti de Almeida</w:t>
      </w:r>
      <w:r>
        <w:rPr>
          <w:color w:val="1A1A1A"/>
          <w:sz w:val="13"/>
          <w:vertAlign w:val="superscript"/>
        </w:rPr>
        <w:t>1</w:t>
      </w:r>
    </w:p>
    <w:p w:rsidR="000B5910" w:rsidRDefault="00057F5C">
      <w:pPr>
        <w:spacing w:before="240" w:after="100"/>
      </w:pPr>
      <w:r>
        <w:rPr>
          <w:b/>
          <w:color w:val="1A1A1A"/>
          <w:sz w:val="22"/>
        </w:rPr>
        <w:t>RESUMO</w:t>
      </w:r>
    </w:p>
    <w:p w:rsidR="000B5910" w:rsidRPr="00EF0997" w:rsidRDefault="00057F5C">
      <w:pPr>
        <w:spacing w:after="80"/>
        <w:jc w:val="both"/>
        <w:rPr>
          <w:sz w:val="22"/>
        </w:rPr>
      </w:pPr>
      <w:r w:rsidRPr="00EF0997">
        <w:rPr>
          <w:b/>
          <w:color w:val="1A1A1A"/>
          <w:sz w:val="22"/>
        </w:rPr>
        <w:t xml:space="preserve">Introdução: </w:t>
      </w:r>
      <w:r w:rsidRPr="00EF0997">
        <w:rPr>
          <w:color w:val="1A1A1A"/>
          <w:sz w:val="22"/>
        </w:rPr>
        <w:t>O diabetes mellitus insulino dependente é uma condição crônica que, se não manejada adequadamente, evolui para complicações graves e fatais. O monitoramento da mortalidade por complicações específicas é um indicador essencial da efetividade do controle clínico e do acesso aos serviços de saúde. Mapear esse perfil epidemiológico permite identificar as principais causas de óbito evitáveis e identificar a população mais vulnerável a desfechos desfavoráveis em Caxias do Sul e, assim, orientar políticas públicas de prevenção secundária.</w:t>
      </w:r>
      <w:r w:rsidRPr="00EF0997">
        <w:rPr>
          <w:b/>
          <w:color w:val="1A1A1A"/>
          <w:sz w:val="22"/>
        </w:rPr>
        <w:t xml:space="preserve"> Objetivo: </w:t>
      </w:r>
      <w:r w:rsidRPr="00EF0997">
        <w:rPr>
          <w:color w:val="1A1A1A"/>
          <w:sz w:val="22"/>
        </w:rPr>
        <w:t>Descrever a mortalidade por diabetes mellitus insulino-dependente (CID-10: E10.0–E10.5) no município de Caxias do Sul (RS), no período de 2021 a 2025, segundo sexo, grupo etário e raça/cor.</w:t>
      </w:r>
      <w:r w:rsidRPr="00EF0997">
        <w:rPr>
          <w:b/>
          <w:color w:val="1A1A1A"/>
          <w:sz w:val="22"/>
        </w:rPr>
        <w:t xml:space="preserve"> Métodos: </w:t>
      </w:r>
      <w:r w:rsidRPr="00EF0997">
        <w:rPr>
          <w:color w:val="1A1A1A"/>
          <w:sz w:val="22"/>
        </w:rPr>
        <w:t xml:space="preserve">Estudo ecológico, descritivo e retrospectivo, com dados secundários do Sistema de Informações sobre Mortalidade (SIM/DATASUS). Incluíram-se óbitos de residentes de Caxias do Sul, entre 2021-2025, com causa básica classificada nas subcategorias E10.0 a E10.5 do CID-10. As variáveis analisadas foram ano, sexo, grupo etário e raça/cor. Os dados foram tabulados em frequências absolutas (n) e </w:t>
      </w:r>
      <w:proofErr w:type="gramStart"/>
      <w:r w:rsidRPr="00EF0997">
        <w:rPr>
          <w:color w:val="1A1A1A"/>
          <w:sz w:val="22"/>
        </w:rPr>
        <w:t>a</w:t>
      </w:r>
      <w:proofErr w:type="gramEnd"/>
      <w:r w:rsidRPr="00EF0997">
        <w:rPr>
          <w:color w:val="1A1A1A"/>
          <w:sz w:val="22"/>
        </w:rPr>
        <w:t xml:space="preserve"> análise dos dados foi feita utilizando o software Excel. Ressalta-se a dependência da qualidade do preenchimento da Declaração de Óbito e o caráter preliminar dos dados de 2025.</w:t>
      </w:r>
      <w:r w:rsidRPr="00EF0997">
        <w:rPr>
          <w:b/>
          <w:color w:val="1A1A1A"/>
          <w:sz w:val="22"/>
        </w:rPr>
        <w:t xml:space="preserve"> Resultados: </w:t>
      </w:r>
      <w:r w:rsidRPr="00EF0997">
        <w:rPr>
          <w:color w:val="1A1A1A"/>
          <w:sz w:val="22"/>
        </w:rPr>
        <w:t xml:space="preserve">Registraram-se 104 óbitos no período analisado. O total anual subiu de 6 (2021) para 37 (2024), com 19 registros em 2025. Predominou a subcategoria E10.2 (complicações renais; 51,5%), seguida de E10.5 (circulatórias periféricas; 37,9%), somando 89,4% do total. As subcategorias E10.1 (6,7%), E10.0 (3,8%), E10.4 (1,0%) e E10.3 (0,0%) apresentaram baixa frequência. A distribuição por sexo foi equilibrada (50% masculino e 50% feminino) e, quanto à raça/cor, predominou a branca (86,5%), seguida de parda (8,7%). </w:t>
      </w:r>
      <w:proofErr w:type="gramStart"/>
      <w:r w:rsidRPr="00EF0997">
        <w:rPr>
          <w:color w:val="1A1A1A"/>
          <w:sz w:val="22"/>
        </w:rPr>
        <w:t>A</w:t>
      </w:r>
      <w:proofErr w:type="gramEnd"/>
      <w:r w:rsidRPr="00EF0997">
        <w:rPr>
          <w:color w:val="1A1A1A"/>
          <w:sz w:val="22"/>
        </w:rPr>
        <w:t xml:space="preserve"> análise por grupo etário evidenciou concentração em idosos (≥60 anos), que responderam por 81,7% dos óbitos, destacando as faixas de 70–79 anos (29,8%) e 80 anos ou mais (26,9%). </w:t>
      </w:r>
      <w:r w:rsidRPr="00EF0997">
        <w:rPr>
          <w:b/>
          <w:color w:val="1A1A1A"/>
          <w:sz w:val="22"/>
        </w:rPr>
        <w:t xml:space="preserve">Conclusão: </w:t>
      </w:r>
      <w:r w:rsidRPr="00EF0997">
        <w:rPr>
          <w:color w:val="1A1A1A"/>
          <w:sz w:val="22"/>
        </w:rPr>
        <w:t>Observou-se que o perfil de mortalidade por diabetes mellitus insulino dependente em Caxias do Sul concentrou-se em complicações crônicas renais e circulatórias periféricas e em indivíduos idosos, comdistribuição equânime entre os sexos. Esse padrão reforça a necessidade de fortalecer o manejo precoce dessas complicações nessa população a fim de reduzir desfechos fatais. Considera-se como limitação a possível incompletude dos registros de 2025.</w:t>
      </w:r>
    </w:p>
    <w:p w:rsidR="000B5910" w:rsidRDefault="000B5910">
      <w:pPr>
        <w:pBdr>
          <w:bottom w:val="single" w:sz="4" w:space="2" w:color="808080"/>
        </w:pBdr>
        <w:spacing w:before="160" w:after="40"/>
      </w:pPr>
    </w:p>
    <w:p w:rsidR="000B5910" w:rsidRPr="00EF0997" w:rsidRDefault="00057F5C">
      <w:pPr>
        <w:spacing w:after="0" w:line="252" w:lineRule="auto"/>
        <w:rPr>
          <w:sz w:val="16"/>
          <w:szCs w:val="16"/>
        </w:rPr>
      </w:pPr>
      <w:r w:rsidRPr="00EF0997">
        <w:rPr>
          <w:color w:val="595959"/>
          <w:sz w:val="16"/>
          <w:szCs w:val="16"/>
          <w:vertAlign w:val="superscript"/>
        </w:rPr>
        <w:t>1</w:t>
      </w:r>
      <w:r w:rsidRPr="00EF0997">
        <w:rPr>
          <w:color w:val="595959"/>
          <w:sz w:val="16"/>
          <w:szCs w:val="16"/>
        </w:rPr>
        <w:t xml:space="preserve"> Universidade de Caxias do Sul</w:t>
      </w:r>
    </w:p>
    <w:p w:rsidR="000B5910" w:rsidRDefault="000B5910">
      <w:pPr>
        <w:sectPr w:rsidR="000B5910">
          <w:headerReference w:type="default" r:id="rId27"/>
          <w:footerReference w:type="default" r:id="rId2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EFEITOS DO EXERCÍCIO DE FORÇA NO CONTROLE GLICÊMICO EM PACIENTES COM DIABETES MELLITUS GESTACIONAL: REVISÃO SISTEMÁTICA E META-ANÁLISE</w:t>
      </w:r>
    </w:p>
    <w:p w:rsidR="000B5910" w:rsidRPr="003D109D" w:rsidRDefault="00057F5C">
      <w:pPr>
        <w:spacing w:after="40" w:line="252" w:lineRule="auto"/>
        <w:jc w:val="right"/>
        <w:rPr>
          <w:szCs w:val="21"/>
        </w:rPr>
      </w:pPr>
      <w:r w:rsidRPr="003D109D">
        <w:rPr>
          <w:color w:val="1A1A1A"/>
          <w:szCs w:val="21"/>
        </w:rPr>
        <w:t>Isabela Remor Olivo de Souza</w:t>
      </w:r>
      <w:r w:rsidRPr="003D109D">
        <w:rPr>
          <w:color w:val="1A1A1A"/>
          <w:szCs w:val="21"/>
          <w:vertAlign w:val="superscript"/>
        </w:rPr>
        <w:t>1</w:t>
      </w:r>
    </w:p>
    <w:p w:rsidR="000B5910" w:rsidRDefault="00057F5C">
      <w:pPr>
        <w:spacing w:before="240" w:after="100"/>
      </w:pPr>
      <w:r>
        <w:rPr>
          <w:b/>
          <w:color w:val="1A1A1A"/>
          <w:sz w:val="22"/>
        </w:rPr>
        <w:t>RESUMO</w:t>
      </w:r>
    </w:p>
    <w:p w:rsidR="000B5910" w:rsidRPr="003D109D" w:rsidRDefault="00057F5C">
      <w:pPr>
        <w:spacing w:after="80"/>
        <w:jc w:val="both"/>
        <w:rPr>
          <w:sz w:val="22"/>
        </w:rPr>
      </w:pPr>
      <w:r w:rsidRPr="003D109D">
        <w:rPr>
          <w:b/>
          <w:color w:val="1A1A1A"/>
          <w:sz w:val="22"/>
        </w:rPr>
        <w:t xml:space="preserve">Introdução: </w:t>
      </w:r>
      <w:r w:rsidRPr="003D109D">
        <w:rPr>
          <w:color w:val="1A1A1A"/>
          <w:sz w:val="22"/>
        </w:rPr>
        <w:t xml:space="preserve">Diabetes mellitus gestacional (DMG) é o aumento dos níveis de glicose durante a gravidez; provocado principalmente pelo lactogênio placentário humano (hPL), hormônio que garante maior disponibilidade de glicose para o feto, gerando hiperglicemia à mãe. O exercício físico de força é avaliado como possível auxiliar no metabolismo da glicose. </w:t>
      </w:r>
      <w:r w:rsidRPr="003D109D">
        <w:rPr>
          <w:b/>
          <w:color w:val="1A1A1A"/>
          <w:sz w:val="22"/>
        </w:rPr>
        <w:t>Objetivo:</w:t>
      </w:r>
      <w:r w:rsidRPr="003D109D">
        <w:rPr>
          <w:color w:val="1A1A1A"/>
          <w:sz w:val="22"/>
        </w:rPr>
        <w:t xml:space="preserve"> O objetivo deste estudo é avaliar os efeitos de um regime de exercício de força nos níveis de glicose no sangue em pacientes com diabetes mellitus gestacional (DMG) </w:t>
      </w:r>
      <w:r w:rsidRPr="003D109D">
        <w:rPr>
          <w:b/>
          <w:color w:val="1A1A1A"/>
          <w:sz w:val="22"/>
        </w:rPr>
        <w:t xml:space="preserve">Métodos: </w:t>
      </w:r>
      <w:r w:rsidRPr="003D109D">
        <w:rPr>
          <w:color w:val="1A1A1A"/>
          <w:sz w:val="22"/>
        </w:rPr>
        <w:t xml:space="preserve">Foram reunidos 4 ensaios clínicos randomizados (ECR) através do PubMed e 1 revisão sistemática através do Cochrane, utilizada apenas para discussão - sem síntese quantitativa. </w:t>
      </w:r>
      <w:r w:rsidRPr="003D109D">
        <w:rPr>
          <w:b/>
          <w:color w:val="1A1A1A"/>
          <w:sz w:val="22"/>
        </w:rPr>
        <w:t>Resultados:</w:t>
      </w:r>
      <w:r w:rsidRPr="003D109D">
        <w:rPr>
          <w:color w:val="1A1A1A"/>
          <w:sz w:val="22"/>
        </w:rPr>
        <w:t xml:space="preserve"> Foi avaliado um grupo de 1160 pacientes com diabetes mellitus gestacional (DMG), das quais 603 praticaram exercício físico de força moderado de 2 a 3 vezes semanais durante 30 a 60 minutos. No grupo sem </w:t>
      </w:r>
      <w:proofErr w:type="gramStart"/>
      <w:r w:rsidRPr="003D109D">
        <w:rPr>
          <w:color w:val="1A1A1A"/>
          <w:sz w:val="22"/>
        </w:rPr>
        <w:t>a</w:t>
      </w:r>
      <w:proofErr w:type="gramEnd"/>
      <w:r w:rsidRPr="003D109D">
        <w:rPr>
          <w:color w:val="1A1A1A"/>
          <w:sz w:val="22"/>
        </w:rPr>
        <w:t xml:space="preserve"> intervenção, 557 pacientes se mantiveram sedentárias durante o período gestacional. Os resultados demonstram OR = 0,89; IC 95% 0,65–1,22; p = 0,47. Indica-se ausência de associação estatisticamente significativa entre a prática do exercício físico durante a gestação e a redução dos níveis de glicose no sangue. Embora alguns estudos tenham demonstrado tendência à redução de risco no grupo intervenção, as estimativas revelam intervalos de confiança amplos e sobrepostos, salientando </w:t>
      </w:r>
      <w:proofErr w:type="gramStart"/>
      <w:r w:rsidRPr="003D109D">
        <w:rPr>
          <w:color w:val="1A1A1A"/>
          <w:sz w:val="22"/>
        </w:rPr>
        <w:t>a</w:t>
      </w:r>
      <w:proofErr w:type="gramEnd"/>
      <w:r w:rsidRPr="003D109D">
        <w:rPr>
          <w:color w:val="1A1A1A"/>
          <w:sz w:val="22"/>
        </w:rPr>
        <w:t xml:space="preserve"> ausência de benefício significativo do exercício físico no tratamento do diabetes mellitus gestacional (DMG). A prática do exercício físico de força apesar de provar-se segura, não demonstrou redução significativa nos níveis de glicose no sangue. A despeito de estudos incentivarem a prática supervisionada, evidências atuais permanecem inconclusivas. </w:t>
      </w:r>
      <w:r w:rsidRPr="003D109D">
        <w:rPr>
          <w:b/>
          <w:color w:val="1A1A1A"/>
          <w:sz w:val="22"/>
        </w:rPr>
        <w:t>Conclusão:</w:t>
      </w:r>
      <w:r w:rsidRPr="003D109D">
        <w:rPr>
          <w:color w:val="1A1A1A"/>
          <w:sz w:val="22"/>
        </w:rPr>
        <w:t xml:space="preserve"> Ressalto a necessidade de ensaios clínicos randomizados (ECR) com maior poder estatístico para esclarecer o papel do exercício físico de força em pacientes com diabetes mellitus gestacional (DMG).</w:t>
      </w:r>
    </w:p>
    <w:p w:rsidR="000B5910" w:rsidRDefault="000B5910">
      <w:pPr>
        <w:pBdr>
          <w:bottom w:val="single" w:sz="4" w:space="2" w:color="808080"/>
        </w:pBdr>
        <w:spacing w:before="160" w:after="40"/>
      </w:pPr>
    </w:p>
    <w:p w:rsidR="000B5910" w:rsidRPr="00EF0997" w:rsidRDefault="00057F5C">
      <w:pPr>
        <w:spacing w:after="0" w:line="252" w:lineRule="auto"/>
        <w:rPr>
          <w:sz w:val="16"/>
          <w:szCs w:val="16"/>
        </w:rPr>
      </w:pPr>
      <w:r w:rsidRPr="00EF0997">
        <w:rPr>
          <w:color w:val="595959"/>
          <w:sz w:val="16"/>
          <w:szCs w:val="16"/>
          <w:vertAlign w:val="superscript"/>
        </w:rPr>
        <w:t>1</w:t>
      </w:r>
      <w:r w:rsidRPr="00EF0997">
        <w:rPr>
          <w:color w:val="595959"/>
          <w:sz w:val="16"/>
          <w:szCs w:val="16"/>
        </w:rPr>
        <w:t xml:space="preserve"> Universidade Feevale</w:t>
      </w:r>
    </w:p>
    <w:p w:rsidR="000B5910" w:rsidRDefault="000B5910">
      <w:pPr>
        <w:sectPr w:rsidR="000B5910">
          <w:headerReference w:type="default" r:id="rId29"/>
          <w:footerReference w:type="default" r:id="rId3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COMPARAÇÃO ENTRE ESCALAS DE TRIAGEM DA SÍNDROME DA APNEIA DO SONO EM PACIENTES COM DM2</w:t>
      </w:r>
    </w:p>
    <w:p w:rsidR="000B5910" w:rsidRPr="003D109D" w:rsidRDefault="00057F5C">
      <w:pPr>
        <w:spacing w:after="40" w:line="252" w:lineRule="auto"/>
        <w:jc w:val="right"/>
        <w:rPr>
          <w:szCs w:val="21"/>
        </w:rPr>
      </w:pPr>
      <w:r w:rsidRPr="003D109D">
        <w:rPr>
          <w:color w:val="1A1A1A"/>
          <w:szCs w:val="21"/>
        </w:rPr>
        <w:t>Anna Luiza Frazzon Teixeira</w:t>
      </w:r>
      <w:r w:rsidRPr="003D109D">
        <w:rPr>
          <w:color w:val="1A1A1A"/>
          <w:szCs w:val="21"/>
          <w:vertAlign w:val="superscript"/>
        </w:rPr>
        <w:t>1</w:t>
      </w:r>
      <w:r w:rsidRPr="003D109D">
        <w:rPr>
          <w:szCs w:val="21"/>
        </w:rPr>
        <w:br/>
      </w:r>
      <w:r w:rsidRPr="003D109D">
        <w:rPr>
          <w:color w:val="1A1A1A"/>
          <w:szCs w:val="21"/>
        </w:rPr>
        <w:t>Eduardo Vieira Romano</w:t>
      </w:r>
      <w:r w:rsidRPr="003D109D">
        <w:rPr>
          <w:color w:val="1A1A1A"/>
          <w:szCs w:val="21"/>
          <w:vertAlign w:val="superscript"/>
        </w:rPr>
        <w:t>2</w:t>
      </w:r>
      <w:r w:rsidRPr="003D109D">
        <w:rPr>
          <w:szCs w:val="21"/>
        </w:rPr>
        <w:br/>
      </w:r>
      <w:r w:rsidRPr="003D109D">
        <w:rPr>
          <w:color w:val="1A1A1A"/>
          <w:szCs w:val="21"/>
        </w:rPr>
        <w:t>Letícia Bruna Heck</w:t>
      </w:r>
      <w:r w:rsidRPr="003D109D">
        <w:rPr>
          <w:color w:val="1A1A1A"/>
          <w:szCs w:val="21"/>
          <w:vertAlign w:val="superscript"/>
        </w:rPr>
        <w:t>2</w:t>
      </w:r>
      <w:r w:rsidRPr="003D109D">
        <w:rPr>
          <w:szCs w:val="21"/>
        </w:rPr>
        <w:br/>
      </w:r>
      <w:r w:rsidRPr="003D109D">
        <w:rPr>
          <w:color w:val="1A1A1A"/>
          <w:szCs w:val="21"/>
        </w:rPr>
        <w:t>Nathan Lobo Dias</w:t>
      </w:r>
      <w:r w:rsidRPr="003D109D">
        <w:rPr>
          <w:color w:val="1A1A1A"/>
          <w:szCs w:val="21"/>
          <w:vertAlign w:val="superscript"/>
        </w:rPr>
        <w:t>2</w:t>
      </w:r>
      <w:r w:rsidRPr="003D109D">
        <w:rPr>
          <w:szCs w:val="21"/>
        </w:rPr>
        <w:br/>
      </w:r>
      <w:r w:rsidRPr="003D109D">
        <w:rPr>
          <w:color w:val="1A1A1A"/>
          <w:szCs w:val="21"/>
        </w:rPr>
        <w:t>Rafael Vaz Machry</w:t>
      </w:r>
      <w:r w:rsidRPr="003D109D">
        <w:rPr>
          <w:color w:val="1A1A1A"/>
          <w:szCs w:val="21"/>
          <w:vertAlign w:val="superscript"/>
        </w:rPr>
        <w:t>2</w:t>
      </w:r>
    </w:p>
    <w:p w:rsidR="000B5910" w:rsidRDefault="00057F5C">
      <w:pPr>
        <w:spacing w:before="240" w:after="100"/>
      </w:pPr>
      <w:r>
        <w:rPr>
          <w:b/>
          <w:color w:val="1A1A1A"/>
          <w:sz w:val="22"/>
        </w:rPr>
        <w:t>RESUMO</w:t>
      </w:r>
    </w:p>
    <w:p w:rsidR="000B5910" w:rsidRPr="003D109D" w:rsidRDefault="00057F5C">
      <w:pPr>
        <w:spacing w:after="80"/>
        <w:jc w:val="both"/>
        <w:rPr>
          <w:sz w:val="22"/>
        </w:rPr>
      </w:pPr>
      <w:r w:rsidRPr="003D109D">
        <w:rPr>
          <w:b/>
          <w:color w:val="1A1A1A"/>
          <w:sz w:val="22"/>
        </w:rPr>
        <w:t>Introdução:</w:t>
      </w:r>
      <w:r w:rsidRPr="003D109D">
        <w:rPr>
          <w:color w:val="1A1A1A"/>
          <w:sz w:val="22"/>
        </w:rPr>
        <w:t xml:space="preserve"> A Síndrome da Apneia Obstrutiva do Sono (SAOS) caracteriza-se pela obstrução da via aérea superior durante o sono, resultando em apneias, redução da saturação de oxigênio e aumento da sonolência diurna. Essas alterações ventilatórias estão associadas a disfunções endoteliais, cardiovasculares, neurocognitivas e metabólicas, elevando a morbimortalidade. </w:t>
      </w:r>
      <w:proofErr w:type="gramStart"/>
      <w:r w:rsidRPr="003D109D">
        <w:rPr>
          <w:color w:val="1A1A1A"/>
          <w:sz w:val="22"/>
        </w:rPr>
        <w:t>A</w:t>
      </w:r>
      <w:proofErr w:type="gramEnd"/>
      <w:r w:rsidRPr="003D109D">
        <w:rPr>
          <w:color w:val="1A1A1A"/>
          <w:sz w:val="22"/>
        </w:rPr>
        <w:t xml:space="preserve"> associação da SAOS com síndrome metabólica, diabetes mellitus tipo 2 (DM2) e obesidade intensifica o risco cardiovascular. </w:t>
      </w:r>
      <w:proofErr w:type="gramStart"/>
      <w:r w:rsidRPr="003D109D">
        <w:rPr>
          <w:color w:val="1A1A1A"/>
          <w:sz w:val="22"/>
        </w:rPr>
        <w:t>A</w:t>
      </w:r>
      <w:proofErr w:type="gramEnd"/>
      <w:r w:rsidRPr="003D109D">
        <w:rPr>
          <w:color w:val="1A1A1A"/>
          <w:sz w:val="22"/>
        </w:rPr>
        <w:t xml:space="preserve"> Escala de Sonolência de Epworth (ESS) e a Escala STOP-BANG (ESB) são ferramentas validadas para triagem inicial de pacientes com suspeita de SAOS. </w:t>
      </w:r>
      <w:r w:rsidRPr="003D109D">
        <w:rPr>
          <w:b/>
          <w:color w:val="1A1A1A"/>
          <w:sz w:val="22"/>
        </w:rPr>
        <w:t>Objetivo:</w:t>
      </w:r>
      <w:r w:rsidRPr="003D109D">
        <w:rPr>
          <w:color w:val="1A1A1A"/>
          <w:sz w:val="22"/>
        </w:rPr>
        <w:t xml:space="preserve"> Comparar as escalas ESS e ESB como instrumentos de triagem em pacientes com DM2 e sintomas sugestivos de SAOS, além de avaliar a concordância entre elas. </w:t>
      </w:r>
      <w:r w:rsidRPr="003D109D">
        <w:rPr>
          <w:b/>
          <w:color w:val="1A1A1A"/>
          <w:sz w:val="22"/>
        </w:rPr>
        <w:t>Métodos:</w:t>
      </w:r>
      <w:r w:rsidRPr="003D109D">
        <w:rPr>
          <w:color w:val="1A1A1A"/>
          <w:sz w:val="22"/>
        </w:rPr>
        <w:t xml:space="preserve"> Estudo transversal, descritivo e observacional, realizado entre 2025 e 2026, incluindo adultos (&gt;18 anos) com diagnóstico prévio de DM2, residentes em cidade do interior do Rio Grande do Sul e em acompanhamento endocrinológico. Foram excluídos indivíduos com doenças neurodegenerativas, respiratórias, psiquiátricas graves ou história prévia de AVC. Os participantes responderam a questionários contendo variáveis clínicas, dados antropométricos, histórico médico, sintomas diurnos e noturnos, além das escalas ESS e ESB. Os dados foram analisados por estatística descritiva e inferencial. </w:t>
      </w:r>
      <w:r w:rsidRPr="003D109D">
        <w:rPr>
          <w:b/>
          <w:color w:val="1A1A1A"/>
          <w:sz w:val="22"/>
        </w:rPr>
        <w:t>Resultados:</w:t>
      </w:r>
      <w:r w:rsidRPr="003D109D">
        <w:rPr>
          <w:color w:val="1A1A1A"/>
          <w:sz w:val="22"/>
        </w:rPr>
        <w:t xml:space="preserve"> Foram avaliados 26 pacientes, com idade média de 59,9 anos, sendo 69,2% do sexo feminino. O IMC médio foi de 33,1 kg/m². Pelo STOP-BANG, 69,2% apresentaram alto risco para SAOS, enquanto apenas 26,9% apresentaram sonolência diurna excessiva pela ESS (≥10). Observou-se correlação moderada entre IMC e STOP-BANG (r=0,51) e fraca entre STOP-BANG e ESS (r=0,26). </w:t>
      </w:r>
      <w:r w:rsidRPr="003D109D">
        <w:rPr>
          <w:b/>
          <w:color w:val="1A1A1A"/>
          <w:sz w:val="22"/>
        </w:rPr>
        <w:t>Conclusão:</w:t>
      </w:r>
      <w:r w:rsidRPr="003D109D">
        <w:rPr>
          <w:color w:val="1A1A1A"/>
          <w:sz w:val="22"/>
        </w:rPr>
        <w:t xml:space="preserve"> Os resultados sugerem elevada prevalência de risco para SAOS em pacientes com DM2, especialmente naqueles com maior IMC. A baixa frequência de sonolência diurna e a fraca correlação entre STOP-BANG e ESS indicam que o risco para SAOS pode estar presente mesmo na ausência de sintomas subjetivos significativos, contribuindo para possível subdiagnóstico quando apenas escalas subjetivas são utilizadas.</w:t>
      </w:r>
    </w:p>
    <w:p w:rsidR="000B5910" w:rsidRDefault="000B5910">
      <w:pPr>
        <w:pBdr>
          <w:bottom w:val="single" w:sz="4" w:space="2" w:color="808080"/>
        </w:pBdr>
        <w:spacing w:before="160" w:after="40"/>
      </w:pPr>
    </w:p>
    <w:p w:rsidR="000B5910" w:rsidRPr="003D109D" w:rsidRDefault="00057F5C">
      <w:pPr>
        <w:spacing w:after="0" w:line="252" w:lineRule="auto"/>
        <w:rPr>
          <w:sz w:val="16"/>
          <w:szCs w:val="16"/>
        </w:rPr>
      </w:pPr>
      <w:r w:rsidRPr="003D109D">
        <w:rPr>
          <w:color w:val="595959"/>
          <w:sz w:val="16"/>
          <w:szCs w:val="16"/>
          <w:vertAlign w:val="superscript"/>
        </w:rPr>
        <w:t>1</w:t>
      </w:r>
      <w:r w:rsidRPr="003D109D">
        <w:rPr>
          <w:color w:val="595959"/>
          <w:sz w:val="16"/>
          <w:szCs w:val="16"/>
        </w:rPr>
        <w:t xml:space="preserve"> HUSM/UFSM</w:t>
      </w:r>
    </w:p>
    <w:p w:rsidR="000B5910" w:rsidRPr="003D109D" w:rsidRDefault="00057F5C">
      <w:pPr>
        <w:spacing w:after="0" w:line="252" w:lineRule="auto"/>
        <w:rPr>
          <w:sz w:val="16"/>
          <w:szCs w:val="16"/>
        </w:rPr>
      </w:pPr>
      <w:r w:rsidRPr="003D109D">
        <w:rPr>
          <w:color w:val="595959"/>
          <w:sz w:val="16"/>
          <w:szCs w:val="16"/>
          <w:vertAlign w:val="superscript"/>
        </w:rPr>
        <w:t>2</w:t>
      </w:r>
      <w:r w:rsidRPr="003D109D">
        <w:rPr>
          <w:color w:val="595959"/>
          <w:sz w:val="16"/>
          <w:szCs w:val="16"/>
        </w:rPr>
        <w:t xml:space="preserve"> UFSM</w:t>
      </w:r>
    </w:p>
    <w:p w:rsidR="000B5910" w:rsidRDefault="000B5910">
      <w:pPr>
        <w:sectPr w:rsidR="000B5910">
          <w:headerReference w:type="default" r:id="rId31"/>
          <w:footerReference w:type="default" r:id="rId3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PESO AO NASCER DA MULHER E DIABETES MELLITUS GESTACIONAL NA VIDA ADULTA: EVIDÊNCIAS DAS COORTES DE NASCIMENTO DE 1982 E 1993 DE PELOTAS, RIO GRANDE DO SUL</w:t>
      </w:r>
    </w:p>
    <w:p w:rsidR="000B5910" w:rsidRPr="003D109D" w:rsidRDefault="00057F5C">
      <w:pPr>
        <w:spacing w:after="40" w:line="252" w:lineRule="auto"/>
        <w:jc w:val="right"/>
        <w:rPr>
          <w:szCs w:val="21"/>
        </w:rPr>
      </w:pPr>
      <w:r w:rsidRPr="003D109D">
        <w:rPr>
          <w:color w:val="1A1A1A"/>
          <w:szCs w:val="21"/>
        </w:rPr>
        <w:t>Danielle de Oliveira Souza Pecoits</w:t>
      </w:r>
      <w:r w:rsidRPr="003D109D">
        <w:rPr>
          <w:color w:val="1A1A1A"/>
          <w:szCs w:val="21"/>
          <w:vertAlign w:val="superscript"/>
        </w:rPr>
        <w:t>1</w:t>
      </w:r>
      <w:r w:rsidRPr="003D109D">
        <w:rPr>
          <w:szCs w:val="21"/>
        </w:rPr>
        <w:br/>
      </w:r>
      <w:r w:rsidRPr="003D109D">
        <w:rPr>
          <w:color w:val="1A1A1A"/>
          <w:szCs w:val="21"/>
        </w:rPr>
        <w:t>Carolina Coelho Scholl</w:t>
      </w:r>
      <w:r w:rsidRPr="003D109D">
        <w:rPr>
          <w:color w:val="1A1A1A"/>
          <w:szCs w:val="21"/>
          <w:vertAlign w:val="superscript"/>
        </w:rPr>
        <w:t>1</w:t>
      </w:r>
      <w:r w:rsidRPr="003D109D">
        <w:rPr>
          <w:szCs w:val="21"/>
        </w:rPr>
        <w:br/>
      </w:r>
      <w:r w:rsidRPr="003D109D">
        <w:rPr>
          <w:color w:val="1A1A1A"/>
          <w:szCs w:val="21"/>
        </w:rPr>
        <w:t>Maria Alice Souza de Oliveira Dode</w:t>
      </w:r>
      <w:r w:rsidRPr="003D109D">
        <w:rPr>
          <w:color w:val="1A1A1A"/>
          <w:szCs w:val="21"/>
          <w:vertAlign w:val="superscript"/>
        </w:rPr>
        <w:t>1</w:t>
      </w:r>
      <w:r w:rsidRPr="003D109D">
        <w:rPr>
          <w:szCs w:val="21"/>
        </w:rPr>
        <w:br/>
      </w:r>
      <w:r w:rsidRPr="003D109D">
        <w:rPr>
          <w:color w:val="1A1A1A"/>
          <w:szCs w:val="21"/>
        </w:rPr>
        <w:t>Bernardo Lessa Horta</w:t>
      </w:r>
      <w:r w:rsidRPr="003D109D">
        <w:rPr>
          <w:color w:val="1A1A1A"/>
          <w:szCs w:val="21"/>
          <w:vertAlign w:val="superscript"/>
        </w:rPr>
        <w:t>1</w:t>
      </w:r>
    </w:p>
    <w:p w:rsidR="000B5910" w:rsidRDefault="00057F5C">
      <w:pPr>
        <w:spacing w:before="240" w:after="100"/>
      </w:pPr>
      <w:r>
        <w:rPr>
          <w:b/>
          <w:color w:val="1A1A1A"/>
          <w:sz w:val="22"/>
        </w:rPr>
        <w:t>RESUMO</w:t>
      </w:r>
    </w:p>
    <w:p w:rsidR="000B5910" w:rsidRPr="003D109D" w:rsidRDefault="00057F5C">
      <w:pPr>
        <w:spacing w:after="80"/>
        <w:jc w:val="both"/>
        <w:rPr>
          <w:sz w:val="22"/>
        </w:rPr>
      </w:pPr>
      <w:r w:rsidRPr="003D109D">
        <w:rPr>
          <w:b/>
          <w:color w:val="1A1A1A"/>
          <w:sz w:val="22"/>
        </w:rPr>
        <w:t>Introdução:</w:t>
      </w:r>
      <w:r w:rsidRPr="003D109D">
        <w:rPr>
          <w:color w:val="1A1A1A"/>
          <w:sz w:val="22"/>
        </w:rPr>
        <w:t xml:space="preserve"> Uma em cada seis gestações é afetada pela diabetes mellitus (DM). A hiperglicemia na gestação está associada a desfechos perinatais desfavoráveis, incluindo complicações maternas, como pré-eclâmpsia e parto prematuro, e fetais, como macrossomia, hipoglicemia neonatal, prematuridade e morte neonatal. Aspectos intrauterinos e perinatais têm sido investigados como possíveis fatores de risco para o desenvolvimento de DM gestacional. Uma meta-análise sugeriu maior risco de DM gestacional entre mulheres que nasceram com baixo peso. Uma vez que a maioria dos estudos ajustou as estimativas para possíveis mediadores, como IMC, por exemplo, as estimativas dos estudos podem estar subestimadas. </w:t>
      </w:r>
      <w:r w:rsidRPr="003D109D">
        <w:rPr>
          <w:b/>
          <w:color w:val="1A1A1A"/>
          <w:sz w:val="22"/>
        </w:rPr>
        <w:t>Objetivo:</w:t>
      </w:r>
      <w:r w:rsidRPr="003D109D">
        <w:rPr>
          <w:color w:val="1A1A1A"/>
          <w:sz w:val="22"/>
        </w:rPr>
        <w:t xml:space="preserve"> Avaliar a associação entre baixo peso ao nascer e DM na gestação em mulheres das Coortes de Nascimento de 1982 e 1993 de Pelotas (Rio Grande do Sul). </w:t>
      </w:r>
      <w:r w:rsidRPr="003D109D">
        <w:rPr>
          <w:b/>
          <w:color w:val="1A1A1A"/>
          <w:sz w:val="22"/>
        </w:rPr>
        <w:t>Métodos:</w:t>
      </w:r>
      <w:r w:rsidRPr="003D109D">
        <w:rPr>
          <w:color w:val="1A1A1A"/>
          <w:sz w:val="22"/>
        </w:rPr>
        <w:t xml:space="preserve"> Em 1982 e 1993 foram identificados todos os nascimentos hospitalares na cidade de Pelotas e os nascidos vivos cuja família residia na zona urbana da cidade foram examinados e suas mães entrevistadas; estes indivíduos têm sido acompanhados prospectivamente. Foram incluídas na análise mulheres com pelo menos uma gestação ao longo da vida. A variável de diabetes foi tratada como dicotômica (sim/não) e o diagnóstico de diabetes em pelo menos uma gestação foi considerado como presença de diabetes (sim). O peso ao nascer das participantes e características maternas foram coletados no nascimento. Informações sobre DM na gestação foram coletadas nos acompanhamentos realizados na vida adulta. </w:t>
      </w:r>
      <w:r w:rsidRPr="003D109D">
        <w:rPr>
          <w:b/>
          <w:color w:val="1A1A1A"/>
          <w:sz w:val="22"/>
        </w:rPr>
        <w:t>Resultados:</w:t>
      </w:r>
      <w:r w:rsidRPr="003D109D">
        <w:rPr>
          <w:color w:val="1A1A1A"/>
          <w:sz w:val="22"/>
        </w:rPr>
        <w:t xml:space="preserve"> Das 2.065 mulheres incluídas, 5,9% relataram DM na gestação e 9,8% delas nasceram com baixo peso. O baixo peso ao nascer apresentou razão de chances (RC) de 1,11 (IC95%: 0,61–2,01) no modelo bruto. Após ajuste para variáveis maternas (idade, escolaridade, cor da pele e paridade) e renda familiar no perinatal, a RC foi de 1,14 (IC95%: 0,63–2,09). No modelo final, ajustado também para história materna de DM e IMC pré-gestacional materno, a RC foi de 1,02 (IC95%: 0,53–1,98). </w:t>
      </w:r>
      <w:r w:rsidRPr="003D109D">
        <w:rPr>
          <w:b/>
          <w:color w:val="1A1A1A"/>
          <w:sz w:val="22"/>
        </w:rPr>
        <w:t>Conclusão:</w:t>
      </w:r>
      <w:r w:rsidRPr="003D109D">
        <w:rPr>
          <w:color w:val="1A1A1A"/>
          <w:sz w:val="22"/>
        </w:rPr>
        <w:t xml:space="preserve"> Ao contrário do observado na literatura, não foi identificada associação entre baixo peso ao nascer e hiperglicemia na gestação. Ao priorizar o ajuste para fatores que antecedem temporalmente </w:t>
      </w:r>
      <w:proofErr w:type="gramStart"/>
      <w:r w:rsidRPr="003D109D">
        <w:rPr>
          <w:color w:val="1A1A1A"/>
          <w:sz w:val="22"/>
        </w:rPr>
        <w:t>a</w:t>
      </w:r>
      <w:proofErr w:type="gramEnd"/>
      <w:r w:rsidRPr="003D109D">
        <w:rPr>
          <w:color w:val="1A1A1A"/>
          <w:sz w:val="22"/>
        </w:rPr>
        <w:t xml:space="preserve"> exposição, os resultados deste estudo indicam que o baixo peso ao nascer, isoladamente, não parece constituir um fator de risco independente para DM na gestação nesta população.</w:t>
      </w:r>
    </w:p>
    <w:p w:rsidR="000B5910" w:rsidRDefault="000B5910">
      <w:pPr>
        <w:pBdr>
          <w:bottom w:val="single" w:sz="4" w:space="2" w:color="808080"/>
        </w:pBdr>
        <w:spacing w:before="160" w:after="40"/>
      </w:pPr>
    </w:p>
    <w:p w:rsidR="000B5910" w:rsidRPr="003D109D" w:rsidRDefault="00057F5C">
      <w:pPr>
        <w:spacing w:after="0" w:line="252" w:lineRule="auto"/>
        <w:rPr>
          <w:sz w:val="16"/>
          <w:szCs w:val="16"/>
        </w:rPr>
      </w:pPr>
      <w:r w:rsidRPr="003D109D">
        <w:rPr>
          <w:color w:val="595959"/>
          <w:sz w:val="16"/>
          <w:szCs w:val="16"/>
          <w:vertAlign w:val="superscript"/>
        </w:rPr>
        <w:t>1</w:t>
      </w:r>
      <w:r w:rsidRPr="003D109D">
        <w:rPr>
          <w:color w:val="595959"/>
          <w:sz w:val="16"/>
          <w:szCs w:val="16"/>
        </w:rPr>
        <w:t xml:space="preserve"> Universidade Federal de Pelotas</w:t>
      </w:r>
    </w:p>
    <w:p w:rsidR="000B5910" w:rsidRDefault="000B5910">
      <w:pPr>
        <w:sectPr w:rsidR="000B5910">
          <w:headerReference w:type="default" r:id="rId33"/>
          <w:footerReference w:type="default" r:id="rId34"/>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EFICÁCIA E SEGURANÇA NO USO ADJUVANTE DE ANÁLOGOS DO GLP-1 EM PACIENTES COM DIABETES MELLITUS TIPO 1: REVISÃO SISTEMÁTICA COM METANÁLISE</w:t>
      </w:r>
    </w:p>
    <w:p w:rsidR="000B5910" w:rsidRPr="00232B1E" w:rsidRDefault="00057F5C">
      <w:pPr>
        <w:spacing w:after="40" w:line="252" w:lineRule="auto"/>
        <w:jc w:val="right"/>
        <w:rPr>
          <w:szCs w:val="21"/>
        </w:rPr>
      </w:pPr>
      <w:r w:rsidRPr="00232B1E">
        <w:rPr>
          <w:color w:val="1A1A1A"/>
          <w:szCs w:val="21"/>
        </w:rPr>
        <w:t>Roberta Marobin</w:t>
      </w:r>
      <w:r w:rsidRPr="00232B1E">
        <w:rPr>
          <w:color w:val="1A1A1A"/>
          <w:szCs w:val="21"/>
          <w:vertAlign w:val="superscript"/>
        </w:rPr>
        <w:t>1</w:t>
      </w:r>
      <w:r w:rsidRPr="00232B1E">
        <w:rPr>
          <w:szCs w:val="21"/>
        </w:rPr>
        <w:br/>
      </w:r>
      <w:r w:rsidRPr="00232B1E">
        <w:rPr>
          <w:color w:val="1A1A1A"/>
          <w:szCs w:val="21"/>
        </w:rPr>
        <w:t>Johannes Thomas Braatz Wildner</w:t>
      </w:r>
      <w:r w:rsidRPr="00232B1E">
        <w:rPr>
          <w:color w:val="1A1A1A"/>
          <w:szCs w:val="21"/>
          <w:vertAlign w:val="superscript"/>
        </w:rPr>
        <w:t>1</w:t>
      </w:r>
      <w:r w:rsidRPr="00232B1E">
        <w:rPr>
          <w:szCs w:val="21"/>
        </w:rPr>
        <w:br/>
      </w:r>
      <w:r w:rsidRPr="00232B1E">
        <w:rPr>
          <w:color w:val="1A1A1A"/>
          <w:szCs w:val="21"/>
        </w:rPr>
        <w:t>Luiza Rosso</w:t>
      </w:r>
      <w:r w:rsidRPr="00232B1E">
        <w:rPr>
          <w:color w:val="1A1A1A"/>
          <w:szCs w:val="21"/>
          <w:vertAlign w:val="superscript"/>
        </w:rPr>
        <w:t>2</w:t>
      </w:r>
      <w:r w:rsidRPr="00232B1E">
        <w:rPr>
          <w:szCs w:val="21"/>
        </w:rPr>
        <w:br/>
      </w:r>
      <w:r w:rsidRPr="00232B1E">
        <w:rPr>
          <w:color w:val="1A1A1A"/>
          <w:szCs w:val="21"/>
        </w:rPr>
        <w:t>Júlia Vives Leal</w:t>
      </w:r>
      <w:r w:rsidRPr="00232B1E">
        <w:rPr>
          <w:color w:val="1A1A1A"/>
          <w:szCs w:val="21"/>
          <w:vertAlign w:val="superscript"/>
        </w:rPr>
        <w:t>2</w:t>
      </w:r>
      <w:r w:rsidRPr="00232B1E">
        <w:rPr>
          <w:szCs w:val="21"/>
        </w:rPr>
        <w:br/>
      </w:r>
      <w:r w:rsidRPr="00232B1E">
        <w:rPr>
          <w:color w:val="1A1A1A"/>
          <w:szCs w:val="21"/>
        </w:rPr>
        <w:t>Ticiana da Costa Rodrigues</w:t>
      </w:r>
      <w:r w:rsidRPr="00232B1E">
        <w:rPr>
          <w:color w:val="1A1A1A"/>
          <w:szCs w:val="21"/>
          <w:vertAlign w:val="superscript"/>
        </w:rPr>
        <w:t>1</w:t>
      </w:r>
    </w:p>
    <w:p w:rsidR="000B5910" w:rsidRDefault="00057F5C">
      <w:pPr>
        <w:spacing w:before="200" w:after="100"/>
        <w:rPr>
          <w:sz w:val="22"/>
        </w:rPr>
      </w:pPr>
      <w:r>
        <w:rPr>
          <w:b/>
          <w:color w:val="1A1A1A"/>
          <w:sz w:val="22"/>
        </w:rPr>
        <w:t>RESUMO</w:t>
      </w:r>
    </w:p>
    <w:p w:rsidR="000B5910" w:rsidRPr="00232B1E" w:rsidRDefault="00057F5C">
      <w:pPr>
        <w:spacing w:after="80" w:line="264" w:lineRule="auto"/>
        <w:jc w:val="both"/>
        <w:rPr>
          <w:sz w:val="22"/>
          <w:szCs w:val="21"/>
        </w:rPr>
      </w:pPr>
      <w:r w:rsidRPr="00232B1E">
        <w:rPr>
          <w:b/>
          <w:color w:val="1A1A1A"/>
          <w:sz w:val="22"/>
          <w:szCs w:val="21"/>
        </w:rPr>
        <w:t xml:space="preserve">Introdução: </w:t>
      </w:r>
      <w:r w:rsidRPr="00232B1E">
        <w:rPr>
          <w:color w:val="1A1A1A"/>
          <w:sz w:val="22"/>
          <w:szCs w:val="21"/>
        </w:rPr>
        <w:t xml:space="preserve">O manejo intensivo com insulina é o tratamento padrão-ouro para o diabetes tipo 1 (DM1) devido à sua eficácia estabelecida na redução de complicações crônicas. Contudo, apenas 30% dos pacientes mantêm a hemoglobina glicada (HbA1C) &lt; 7,0%. Além disso, dados recentes indicam que a prevalência de obesidade em pacientes com DM1 já é semelhante à observada na população geral. Diante da complexidade envolvida no manejo do DM1, a possibilidade de associar os análogos do GLP-1 (aGLP-1) à insulinoterapia é promissora. Isso se deve aos benefícios da classe no controle glicêmico, no emagrecimento e na redução do risco cardiovascular em pacientes com DM2, aliados ao baixo risco de hipoglicemia. </w:t>
      </w:r>
      <w:r w:rsidRPr="00232B1E">
        <w:rPr>
          <w:b/>
          <w:color w:val="1A1A1A"/>
          <w:sz w:val="22"/>
          <w:szCs w:val="21"/>
        </w:rPr>
        <w:t>Objetivo</w:t>
      </w:r>
      <w:r w:rsidRPr="00232B1E">
        <w:rPr>
          <w:color w:val="1A1A1A"/>
          <w:sz w:val="22"/>
          <w:szCs w:val="21"/>
        </w:rPr>
        <w:t>: Avaliar a eficácia e segurança do uso adjuvante de aGLP-1 no DM1</w:t>
      </w:r>
      <w:r w:rsidRPr="00232B1E">
        <w:rPr>
          <w:b/>
          <w:color w:val="1A1A1A"/>
          <w:sz w:val="22"/>
          <w:szCs w:val="21"/>
        </w:rPr>
        <w:t>. Métodos</w:t>
      </w:r>
      <w:r w:rsidRPr="00232B1E">
        <w:rPr>
          <w:color w:val="1A1A1A"/>
          <w:sz w:val="22"/>
          <w:szCs w:val="21"/>
        </w:rPr>
        <w:t xml:space="preserve">: Procedeu-se à revisão sistemática da literatura em busca de ensaios clínicos randomizados (ECRs) que incluíram adultos em manejo intensivo do DM1 que receberam aGLP-1 por &gt; 12 semanas, em comparação com o tratamento usual ou placebo. A busca, concluída em abril de 2024, foi realizada nas bases de dados PubMed, Embase e CENTRAL. A seleção dos artigos e </w:t>
      </w:r>
      <w:proofErr w:type="gramStart"/>
      <w:r w:rsidRPr="00232B1E">
        <w:rPr>
          <w:color w:val="1A1A1A"/>
          <w:sz w:val="22"/>
          <w:szCs w:val="21"/>
        </w:rPr>
        <w:t>a</w:t>
      </w:r>
      <w:proofErr w:type="gramEnd"/>
      <w:r w:rsidRPr="00232B1E">
        <w:rPr>
          <w:color w:val="1A1A1A"/>
          <w:sz w:val="22"/>
          <w:szCs w:val="21"/>
        </w:rPr>
        <w:t xml:space="preserve"> extração de dados foram feitas em duplicata. Utilizou-se a ferramenta ROB2 para avaliar o risco de viés dos artigos incluídos. Os desfechos de eficácia foram HbA1c, peso e percentual de tempo no alvo de 70-180 mg/dL (TIR). Os desfechos de segurança foram hipoglicemia grave (HG) e cetoacidose diabética (CAD). Os dados foram metanalisados no software R, aplicando o efeito randômico. A heterogeneidade foi estimada pelo teste I². </w:t>
      </w:r>
      <w:r w:rsidRPr="00232B1E">
        <w:rPr>
          <w:b/>
          <w:color w:val="1A1A1A"/>
          <w:sz w:val="22"/>
          <w:szCs w:val="21"/>
        </w:rPr>
        <w:t>Resultados:</w:t>
      </w:r>
      <w:r w:rsidRPr="00232B1E">
        <w:rPr>
          <w:color w:val="1A1A1A"/>
          <w:sz w:val="22"/>
          <w:szCs w:val="21"/>
        </w:rPr>
        <w:t xml:space="preserve"> Foram incluídos 24 estudos, abrangendo 5 tipos de aGLP-1 e 3603 pacientes. Apenas 9 ECRs apresentaram baixo risco de viés. </w:t>
      </w:r>
      <w:proofErr w:type="gramStart"/>
      <w:r w:rsidRPr="00232B1E">
        <w:rPr>
          <w:color w:val="1A1A1A"/>
          <w:sz w:val="22"/>
          <w:szCs w:val="21"/>
        </w:rPr>
        <w:t>A</w:t>
      </w:r>
      <w:proofErr w:type="gramEnd"/>
      <w:r w:rsidRPr="00232B1E">
        <w:rPr>
          <w:color w:val="1A1A1A"/>
          <w:sz w:val="22"/>
          <w:szCs w:val="21"/>
        </w:rPr>
        <w:t xml:space="preserve"> idade, a HbA1C, o peso e o IMC médios da população inicial foram de 41,6 anos, 7,8%, 83,7 kg e 28,5 kg/m², respectivamente. A maioria dos estudos incluiu indivíduos com &gt; 10 anos de doença, em uso de múltiplas doses diárias e sem função residual de célula beta. Houve uma redução média de -0,23% da HbA1C [-0,28; -0,18, I² 4,2%, n=24] e de -4,02 kg no peso [-4,72; -3,33, I² 81,2%, n=24]. Houve aumento de 2,98% no TIR [0,31;5,56; I² 74%, n=12]. Não se observou aumento de HG [OR 0,84; IC95% 0,65 – 1,08, p 0,19, I2 0%, n=17]. A CAD foi um desfecho raro, mas mais frequente no grupo intervenção [10 x 1 caso, n=14]. </w:t>
      </w:r>
      <w:r w:rsidRPr="00232B1E">
        <w:rPr>
          <w:b/>
          <w:color w:val="1A1A1A"/>
          <w:sz w:val="22"/>
          <w:szCs w:val="21"/>
        </w:rPr>
        <w:t>Conclusão:</w:t>
      </w:r>
      <w:r w:rsidRPr="00232B1E">
        <w:rPr>
          <w:color w:val="1A1A1A"/>
          <w:sz w:val="22"/>
          <w:szCs w:val="21"/>
        </w:rPr>
        <w:t xml:space="preserve"> O uso de adjuvante de aGLP1 em pacientes com DM1 foi favorável para o controle glicêmico e para a redução de peso, sem aumentar o risco de hipoglicemia grave.</w:t>
      </w:r>
    </w:p>
    <w:p w:rsidR="000B5910" w:rsidRDefault="000B5910">
      <w:pPr>
        <w:pBdr>
          <w:bottom w:val="single" w:sz="4" w:space="2" w:color="808080"/>
        </w:pBdr>
        <w:spacing w:before="120" w:after="40"/>
      </w:pPr>
    </w:p>
    <w:p w:rsidR="000B5910" w:rsidRPr="00232B1E" w:rsidRDefault="00057F5C">
      <w:pPr>
        <w:spacing w:after="0" w:line="252" w:lineRule="auto"/>
        <w:rPr>
          <w:sz w:val="16"/>
          <w:szCs w:val="16"/>
        </w:rPr>
      </w:pPr>
      <w:r w:rsidRPr="00232B1E">
        <w:rPr>
          <w:color w:val="595959"/>
          <w:sz w:val="16"/>
          <w:szCs w:val="16"/>
          <w:vertAlign w:val="superscript"/>
        </w:rPr>
        <w:t>1</w:t>
      </w:r>
      <w:r w:rsidRPr="00232B1E">
        <w:rPr>
          <w:color w:val="595959"/>
          <w:sz w:val="16"/>
          <w:szCs w:val="16"/>
        </w:rPr>
        <w:t xml:space="preserve"> Universidade Federal do Rio Grande do Sul</w:t>
      </w:r>
    </w:p>
    <w:p w:rsidR="000B5910" w:rsidRPr="00232B1E" w:rsidRDefault="00057F5C">
      <w:pPr>
        <w:spacing w:after="0" w:line="252" w:lineRule="auto"/>
        <w:rPr>
          <w:sz w:val="16"/>
          <w:szCs w:val="16"/>
        </w:rPr>
      </w:pPr>
      <w:r w:rsidRPr="00232B1E">
        <w:rPr>
          <w:color w:val="595959"/>
          <w:sz w:val="16"/>
          <w:szCs w:val="16"/>
          <w:vertAlign w:val="superscript"/>
        </w:rPr>
        <w:t>2</w:t>
      </w:r>
      <w:r w:rsidRPr="00232B1E">
        <w:rPr>
          <w:color w:val="595959"/>
          <w:sz w:val="16"/>
          <w:szCs w:val="16"/>
        </w:rPr>
        <w:t xml:space="preserve"> Hospital Moinhos de Vento</w:t>
      </w:r>
    </w:p>
    <w:p w:rsidR="000B5910" w:rsidRDefault="000B5910">
      <w:pPr>
        <w:sectPr w:rsidR="000B5910">
          <w:headerReference w:type="default" r:id="rId35"/>
          <w:footerReference w:type="default" r:id="rId36"/>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DESFECHOS CARDIOVASCULARES EM ADULTOS COM DIABETES MELLITUS TIPO 2 TRATADOS COM TIRZEPATIDA</w:t>
      </w:r>
    </w:p>
    <w:p w:rsidR="000B5910" w:rsidRPr="007A5D26" w:rsidRDefault="00057F5C">
      <w:pPr>
        <w:spacing w:after="40" w:line="252" w:lineRule="auto"/>
        <w:jc w:val="right"/>
        <w:rPr>
          <w:szCs w:val="21"/>
        </w:rPr>
      </w:pPr>
      <w:r w:rsidRPr="007A5D26">
        <w:rPr>
          <w:color w:val="1A1A1A"/>
          <w:szCs w:val="21"/>
        </w:rPr>
        <w:t>Lúcio Marques Leonardi</w:t>
      </w:r>
      <w:r w:rsidRPr="007A5D26">
        <w:rPr>
          <w:color w:val="1A1A1A"/>
          <w:szCs w:val="21"/>
          <w:vertAlign w:val="superscript"/>
        </w:rPr>
        <w:t>1</w:t>
      </w:r>
      <w:r w:rsidRPr="007A5D26">
        <w:rPr>
          <w:szCs w:val="21"/>
        </w:rPr>
        <w:br/>
      </w:r>
      <w:r w:rsidRPr="007A5D26">
        <w:rPr>
          <w:color w:val="1A1A1A"/>
          <w:szCs w:val="21"/>
        </w:rPr>
        <w:t>Isabela Alles</w:t>
      </w:r>
      <w:r w:rsidRPr="007A5D26">
        <w:rPr>
          <w:color w:val="1A1A1A"/>
          <w:szCs w:val="21"/>
          <w:vertAlign w:val="superscript"/>
        </w:rPr>
        <w:t>1</w:t>
      </w:r>
      <w:r w:rsidRPr="007A5D26">
        <w:rPr>
          <w:szCs w:val="21"/>
        </w:rPr>
        <w:br/>
      </w:r>
      <w:r w:rsidRPr="007A5D26">
        <w:rPr>
          <w:color w:val="1A1A1A"/>
          <w:szCs w:val="21"/>
        </w:rPr>
        <w:t>Luiza Haas Jacobus</w:t>
      </w:r>
      <w:r w:rsidRPr="007A5D26">
        <w:rPr>
          <w:color w:val="1A1A1A"/>
          <w:szCs w:val="21"/>
          <w:vertAlign w:val="superscript"/>
        </w:rPr>
        <w:t>1</w:t>
      </w:r>
      <w:r w:rsidRPr="007A5D26">
        <w:rPr>
          <w:szCs w:val="21"/>
        </w:rPr>
        <w:br/>
      </w:r>
      <w:r w:rsidRPr="007A5D26">
        <w:rPr>
          <w:color w:val="1A1A1A"/>
          <w:szCs w:val="21"/>
        </w:rPr>
        <w:t>Camila Ferreira Overbeck</w:t>
      </w:r>
      <w:r w:rsidRPr="007A5D26">
        <w:rPr>
          <w:color w:val="1A1A1A"/>
          <w:szCs w:val="21"/>
          <w:vertAlign w:val="superscript"/>
        </w:rPr>
        <w:t>1</w:t>
      </w:r>
      <w:r w:rsidRPr="007A5D26">
        <w:rPr>
          <w:szCs w:val="21"/>
        </w:rPr>
        <w:br/>
      </w:r>
      <w:r w:rsidRPr="007A5D26">
        <w:rPr>
          <w:color w:val="1A1A1A"/>
          <w:szCs w:val="21"/>
        </w:rPr>
        <w:t>Vitor Petry Thiele</w:t>
      </w:r>
      <w:r w:rsidRPr="007A5D26">
        <w:rPr>
          <w:color w:val="1A1A1A"/>
          <w:szCs w:val="21"/>
          <w:vertAlign w:val="superscript"/>
        </w:rPr>
        <w:t>1</w:t>
      </w:r>
      <w:r w:rsidRPr="007A5D26">
        <w:rPr>
          <w:szCs w:val="21"/>
        </w:rPr>
        <w:br/>
      </w:r>
      <w:r w:rsidRPr="007A5D26">
        <w:rPr>
          <w:color w:val="1A1A1A"/>
          <w:szCs w:val="21"/>
        </w:rPr>
        <w:t>Murilo Antônio Borba</w:t>
      </w:r>
      <w:r w:rsidRPr="007A5D26">
        <w:rPr>
          <w:color w:val="1A1A1A"/>
          <w:szCs w:val="21"/>
          <w:vertAlign w:val="superscript"/>
        </w:rPr>
        <w:t>1</w:t>
      </w:r>
      <w:r w:rsidRPr="007A5D26">
        <w:rPr>
          <w:szCs w:val="21"/>
        </w:rPr>
        <w:br/>
      </w:r>
      <w:r w:rsidRPr="007A5D26">
        <w:rPr>
          <w:color w:val="1A1A1A"/>
          <w:szCs w:val="21"/>
        </w:rPr>
        <w:t>Antônia Haas Hoppe</w:t>
      </w:r>
      <w:r w:rsidRPr="007A5D26">
        <w:rPr>
          <w:color w:val="1A1A1A"/>
          <w:szCs w:val="21"/>
          <w:vertAlign w:val="superscript"/>
        </w:rPr>
        <w:t>1</w:t>
      </w:r>
      <w:r w:rsidRPr="007A5D26">
        <w:rPr>
          <w:szCs w:val="21"/>
        </w:rPr>
        <w:br/>
      </w:r>
      <w:r w:rsidRPr="007A5D26">
        <w:rPr>
          <w:color w:val="1A1A1A"/>
          <w:szCs w:val="21"/>
        </w:rPr>
        <w:t>Carolina Faccin Da Ros</w:t>
      </w:r>
      <w:r w:rsidRPr="007A5D26">
        <w:rPr>
          <w:color w:val="1A1A1A"/>
          <w:szCs w:val="21"/>
          <w:vertAlign w:val="superscript"/>
        </w:rPr>
        <w:t>1</w:t>
      </w:r>
      <w:r w:rsidRPr="007A5D26">
        <w:rPr>
          <w:szCs w:val="21"/>
        </w:rPr>
        <w:br/>
      </w:r>
      <w:r w:rsidRPr="007A5D26">
        <w:rPr>
          <w:color w:val="1A1A1A"/>
          <w:szCs w:val="21"/>
        </w:rPr>
        <w:t>Maria Carolina Hirsch</w:t>
      </w:r>
      <w:r w:rsidRPr="007A5D26">
        <w:rPr>
          <w:color w:val="1A1A1A"/>
          <w:szCs w:val="21"/>
          <w:vertAlign w:val="superscript"/>
        </w:rPr>
        <w:t>1</w:t>
      </w:r>
      <w:r w:rsidRPr="007A5D26">
        <w:rPr>
          <w:szCs w:val="21"/>
        </w:rPr>
        <w:br/>
      </w:r>
      <w:r w:rsidRPr="007A5D26">
        <w:rPr>
          <w:color w:val="1A1A1A"/>
          <w:szCs w:val="21"/>
        </w:rPr>
        <w:t>Roberta Finkler Dupont</w:t>
      </w:r>
      <w:r w:rsidRPr="007A5D26">
        <w:rPr>
          <w:color w:val="1A1A1A"/>
          <w:szCs w:val="21"/>
          <w:vertAlign w:val="superscript"/>
        </w:rPr>
        <w:t>1</w:t>
      </w:r>
    </w:p>
    <w:p w:rsidR="000B5910" w:rsidRDefault="00057F5C">
      <w:pPr>
        <w:spacing w:before="200" w:after="100"/>
        <w:rPr>
          <w:sz w:val="22"/>
        </w:rPr>
      </w:pPr>
      <w:r>
        <w:rPr>
          <w:b/>
          <w:color w:val="1A1A1A"/>
          <w:sz w:val="22"/>
        </w:rPr>
        <w:t>RESUMO</w:t>
      </w:r>
    </w:p>
    <w:p w:rsidR="000B5910" w:rsidRPr="007A5D26" w:rsidRDefault="00057F5C">
      <w:pPr>
        <w:spacing w:after="80" w:line="264" w:lineRule="auto"/>
        <w:jc w:val="both"/>
        <w:rPr>
          <w:sz w:val="22"/>
        </w:rPr>
      </w:pPr>
      <w:r w:rsidRPr="007A5D26">
        <w:rPr>
          <w:b/>
          <w:color w:val="1A1A1A"/>
          <w:sz w:val="22"/>
        </w:rPr>
        <w:t>Introdução</w:t>
      </w:r>
      <w:r w:rsidRPr="007A5D26">
        <w:rPr>
          <w:color w:val="1A1A1A"/>
          <w:sz w:val="22"/>
        </w:rPr>
        <w:t xml:space="preserve">: O Diabetes Mellitus tipo 2 (DM2) constitui uma das principais causas de morbimortalidade global, sobretudo em decorrência de eventos cardiovasculares. O paradigma terapêutico contemporâneo transcende o controle glicêmico isolado, priorizando intervenções com benefício cardiorrenal comprovado. Nesse contexto, a tirzepatida, primeiro agonista duplo dos receptores de GIP e GLP-1, emerge como uma estratégia terapêutica inovadora no manejo do DM2. </w:t>
      </w:r>
      <w:r w:rsidRPr="007A5D26">
        <w:rPr>
          <w:b/>
          <w:color w:val="1A1A1A"/>
          <w:sz w:val="22"/>
        </w:rPr>
        <w:t>Objetivo:</w:t>
      </w:r>
      <w:r w:rsidRPr="007A5D26">
        <w:rPr>
          <w:color w:val="1A1A1A"/>
          <w:sz w:val="22"/>
        </w:rPr>
        <w:t xml:space="preserve"> Analisar o impacto da tirzepatida sobre marcadores de risco cardiovascular e desfechos cardiometabólicos em adultos com DM2.</w:t>
      </w:r>
      <w:r w:rsidRPr="007A5D26">
        <w:rPr>
          <w:b/>
          <w:color w:val="1A1A1A"/>
          <w:sz w:val="22"/>
        </w:rPr>
        <w:t xml:space="preserve"> Métodos</w:t>
      </w:r>
      <w:r w:rsidRPr="007A5D26">
        <w:rPr>
          <w:color w:val="1A1A1A"/>
          <w:sz w:val="22"/>
        </w:rPr>
        <w:t>: Revisão sistemática com buscas nas bases PubMed, Embase e Web of Science, utilizando os descritores “Cardiovascular”, “Type 2 Diabetes Mellitus” e “Tirzepatide”, combinados pelo operador booleano “AND”. Foram incluídos ensaios clínicos randomizados, revisões de literatura e meta-análises dos últimos 5 anos, em português e inglês, com acesso aberto e íntegro. Excluíram-se estudos duplicados e que não contemplassem os desfechos de interesse.</w:t>
      </w:r>
      <w:r w:rsidRPr="007A5D26">
        <w:rPr>
          <w:b/>
          <w:color w:val="1A1A1A"/>
          <w:sz w:val="22"/>
        </w:rPr>
        <w:t xml:space="preserve"> Resultados:</w:t>
      </w:r>
      <w:r w:rsidRPr="007A5D26">
        <w:rPr>
          <w:color w:val="1A1A1A"/>
          <w:sz w:val="22"/>
        </w:rPr>
        <w:t xml:space="preserve"> Dos 276 artigos encontrados, 4 atenderam aos critérios. A tirzepatida foi associada à redução da pressão arterial sistólica (2,8–4,8 mmHg) e diastólica (0,8–1,0 mmHg). Houve melhora significativa de marcadores cardiovasculares, como redução de triglicerídeos (18,5%–24,8%), LDL (5,2%–12,4%) e VLDL (17,5%–23,7%), bem como aumento de HDL (3,2%–7,9%) e diminuição dose-dependente da proteína C-reativa de alta sensibilidade. Mecanisticamente, </w:t>
      </w:r>
      <w:proofErr w:type="gramStart"/>
      <w:r w:rsidRPr="007A5D26">
        <w:rPr>
          <w:color w:val="1A1A1A"/>
          <w:sz w:val="22"/>
        </w:rPr>
        <w:t>a</w:t>
      </w:r>
      <w:proofErr w:type="gramEnd"/>
      <w:r w:rsidRPr="007A5D26">
        <w:rPr>
          <w:color w:val="1A1A1A"/>
          <w:sz w:val="22"/>
        </w:rPr>
        <w:t xml:space="preserve"> ativação do receptor de GLP-1 reduz a expressão do inibidor do ativador de plasminogênio tipo 1 e de moléculas de adesão vascular, atenuando a disfunção endotelial e protegendo contra a hipertensão. Nos estudos SURPASS, observou-se perda ponderal de 5,4 a 11,7 kg com doses semanais de tirzepatida de 5 a 15 mg. O estudo SURMOUNT-1 mostrou que, para as mesmas dosagens semanais, uma maior perda de peso foi constatada em indivíduos sem DM2, com uma redução de 15% a 20,9% no peso corporal. Esse estudo também demonstrou, em indivíduos com DM2, uma redução de 12,8% a 14,7% do peso corporal com doses semanais de 10 a 15 mg de tirzepatida, o que sugere potencial efeito cardiometabólico do fármaco. </w:t>
      </w:r>
      <w:r w:rsidRPr="007A5D26">
        <w:rPr>
          <w:b/>
          <w:color w:val="1A1A1A"/>
          <w:sz w:val="22"/>
        </w:rPr>
        <w:t>Conclusão:</w:t>
      </w:r>
      <w:r w:rsidRPr="007A5D26">
        <w:rPr>
          <w:color w:val="1A1A1A"/>
          <w:sz w:val="22"/>
        </w:rPr>
        <w:t xml:space="preserve"> A tirzepatida mostra-se uma opção terapêutica promissora para a melhoria de marcadores de risco cardiovascular em adultos com DM2, embora ainda sejam necessários estudos mais abrangentes a respeito dos desfechos a longo prazo para consolidar seu papel no manejo integrado do DM2. </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de Santa Cruz do Sul</w:t>
      </w:r>
    </w:p>
    <w:p w:rsidR="000B5910" w:rsidRDefault="000B5910">
      <w:pPr>
        <w:sectPr w:rsidR="000B5910">
          <w:headerReference w:type="default" r:id="rId37"/>
          <w:footerReference w:type="default" r:id="rId3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USO DE SEMAGLUTIDA SUBCUTÂNEA PARA MANEJO DE DIABETES ASSOCIADO A LIPODISTROFIA PARCIAL FAMILIAR (LPF) - RELATO DE CASO</w:t>
      </w:r>
    </w:p>
    <w:p w:rsidR="000B5910" w:rsidRPr="007A5D26" w:rsidRDefault="00057F5C">
      <w:pPr>
        <w:spacing w:after="40" w:line="252" w:lineRule="auto"/>
        <w:jc w:val="right"/>
        <w:rPr>
          <w:szCs w:val="21"/>
        </w:rPr>
      </w:pPr>
      <w:r w:rsidRPr="007A5D26">
        <w:rPr>
          <w:color w:val="1A1A1A"/>
          <w:szCs w:val="21"/>
        </w:rPr>
        <w:t>Júlia Vives Leal</w:t>
      </w:r>
      <w:r w:rsidRPr="007A5D26">
        <w:rPr>
          <w:color w:val="1A1A1A"/>
          <w:szCs w:val="21"/>
          <w:vertAlign w:val="superscript"/>
        </w:rPr>
        <w:t>1</w:t>
      </w:r>
      <w:r w:rsidRPr="007A5D26">
        <w:rPr>
          <w:szCs w:val="21"/>
        </w:rPr>
        <w:br/>
      </w:r>
      <w:r w:rsidRPr="007A5D26">
        <w:rPr>
          <w:color w:val="1A1A1A"/>
          <w:szCs w:val="21"/>
        </w:rPr>
        <w:t>Luiza Rosso da Silva Pritsch</w:t>
      </w:r>
      <w:r w:rsidRPr="007A5D26">
        <w:rPr>
          <w:color w:val="1A1A1A"/>
          <w:szCs w:val="21"/>
          <w:vertAlign w:val="superscript"/>
        </w:rPr>
        <w:t>1</w:t>
      </w:r>
      <w:r w:rsidRPr="007A5D26">
        <w:rPr>
          <w:szCs w:val="21"/>
        </w:rPr>
        <w:br/>
      </w:r>
      <w:r w:rsidRPr="007A5D26">
        <w:rPr>
          <w:color w:val="1A1A1A"/>
          <w:szCs w:val="21"/>
        </w:rPr>
        <w:t>Maria Antônia Dutra Nicolodi</w:t>
      </w:r>
      <w:r w:rsidRPr="007A5D26">
        <w:rPr>
          <w:color w:val="1A1A1A"/>
          <w:szCs w:val="21"/>
          <w:vertAlign w:val="superscript"/>
        </w:rPr>
        <w:t>1</w:t>
      </w:r>
      <w:r w:rsidRPr="007A5D26">
        <w:rPr>
          <w:szCs w:val="21"/>
        </w:rPr>
        <w:br/>
      </w:r>
      <w:r w:rsidRPr="007A5D26">
        <w:rPr>
          <w:color w:val="1A1A1A"/>
          <w:szCs w:val="21"/>
        </w:rPr>
        <w:t>Roberta Marobin</w:t>
      </w:r>
      <w:r w:rsidRPr="007A5D26">
        <w:rPr>
          <w:color w:val="1A1A1A"/>
          <w:szCs w:val="21"/>
          <w:vertAlign w:val="superscript"/>
        </w:rPr>
        <w:t>1</w:t>
      </w:r>
      <w:r w:rsidRPr="007A5D26">
        <w:rPr>
          <w:szCs w:val="21"/>
        </w:rPr>
        <w:br/>
      </w:r>
      <w:r w:rsidRPr="007A5D26">
        <w:rPr>
          <w:color w:val="1A1A1A"/>
          <w:szCs w:val="21"/>
        </w:rPr>
        <w:t>Guilherme Alcides Flores Soares Rollin</w:t>
      </w:r>
      <w:r w:rsidRPr="007A5D26">
        <w:rPr>
          <w:color w:val="1A1A1A"/>
          <w:szCs w:val="21"/>
          <w:vertAlign w:val="superscript"/>
        </w:rPr>
        <w:t>1</w:t>
      </w:r>
      <w:r w:rsidRPr="007A5D26">
        <w:rPr>
          <w:szCs w:val="21"/>
        </w:rPr>
        <w:br/>
      </w:r>
      <w:r w:rsidRPr="007A5D26">
        <w:rPr>
          <w:color w:val="1A1A1A"/>
          <w:szCs w:val="21"/>
        </w:rPr>
        <w:t>Tobias Skrebsky de Almeida</w:t>
      </w:r>
      <w:r w:rsidRPr="007A5D26">
        <w:rPr>
          <w:color w:val="1A1A1A"/>
          <w:szCs w:val="21"/>
          <w:vertAlign w:val="superscript"/>
        </w:rPr>
        <w:t>1</w:t>
      </w:r>
      <w:r w:rsidRPr="007A5D26">
        <w:rPr>
          <w:szCs w:val="21"/>
        </w:rPr>
        <w:br/>
      </w:r>
      <w:r w:rsidRPr="007A5D26">
        <w:rPr>
          <w:color w:val="1A1A1A"/>
          <w:szCs w:val="21"/>
        </w:rPr>
        <w:t>Luciana Roesch Schreiner</w:t>
      </w:r>
      <w:r w:rsidRPr="007A5D26">
        <w:rPr>
          <w:color w:val="1A1A1A"/>
          <w:szCs w:val="21"/>
          <w:vertAlign w:val="superscript"/>
        </w:rPr>
        <w:t>1</w:t>
      </w:r>
    </w:p>
    <w:p w:rsidR="000B5910" w:rsidRDefault="00057F5C">
      <w:pPr>
        <w:spacing w:before="240" w:after="100"/>
      </w:pPr>
      <w:r>
        <w:rPr>
          <w:b/>
          <w:color w:val="1A1A1A"/>
          <w:sz w:val="22"/>
        </w:rPr>
        <w:t>RESUMO</w:t>
      </w:r>
    </w:p>
    <w:p w:rsidR="000B5910" w:rsidRPr="007A5D26" w:rsidRDefault="00057F5C">
      <w:pPr>
        <w:spacing w:after="80"/>
        <w:jc w:val="both"/>
        <w:rPr>
          <w:sz w:val="22"/>
        </w:rPr>
      </w:pPr>
      <w:r w:rsidRPr="007A5D26">
        <w:rPr>
          <w:b/>
          <w:color w:val="1A1A1A"/>
          <w:sz w:val="22"/>
        </w:rPr>
        <w:t xml:space="preserve">Apresentação do Caso: </w:t>
      </w:r>
      <w:r w:rsidRPr="007A5D26">
        <w:rPr>
          <w:color w:val="1A1A1A"/>
          <w:sz w:val="22"/>
        </w:rPr>
        <w:t>Paciente feminina, 56 anos, com diagnóstico de diabetes mellitus tipo 2 desde os 28 anos. Procurou emergência devido quadro de angina instável, com necessidade de angioplastia. Durante avaliação, identificadas lipoatrofia em membros, pseudo-hipertrofia muscular, flebomegalia e acúmulo de gordura em tronco, face e região suprapúbica. Paciente referiu fenótipo semelhante em familiares de 1º grau</w:t>
      </w:r>
      <w:r w:rsidR="007A5D26" w:rsidRPr="007A5D26">
        <w:rPr>
          <w:color w:val="1A1A1A"/>
          <w:sz w:val="22"/>
        </w:rPr>
        <w:t xml:space="preserve"> de </w:t>
      </w:r>
      <w:r w:rsidRPr="007A5D26">
        <w:rPr>
          <w:color w:val="1A1A1A"/>
          <w:sz w:val="22"/>
        </w:rPr>
        <w:t xml:space="preserve">Investigação demonstrou prega cutânea da coxa 5,5mm, densitometria de corpo total com massa gorda em membros inferiores 18% e Fat Mass Ratio 2,7, preenchendo critério obrigatório para LPF. Além disso, preenchia 1 critério maior (presença de diabetes mellitus) e mais de 2 critérios menores (doença arterial coronariana precoce, IMC &lt;30 Kg/m², musculatura proeminente em membros e deposição de gordura em regiões suprapúbica, cervical e submandibular). Foi optado pela associação de semaglutida 1mg para otimização do controle glicêmico e proteção cardiovascular. A HbA1c pré-tratamento era 10,4%, em uso de insulinoterapia basal-bolus com dose maior que 1 UI/kg/dia. Após 4 meses da introdução da semaglutida apresentou melhora importante da HbA1c para 7,4% e redução da necessidade de insulina para 0,6 UI/Kg/dia. Não houve perda ponderal nesse período, mantendo IMC 28 kg/m². Demais laboratoriais descritos na Tabela 1. </w:t>
      </w:r>
      <w:r w:rsidRPr="007A5D26">
        <w:rPr>
          <w:b/>
          <w:color w:val="1A1A1A"/>
          <w:sz w:val="22"/>
        </w:rPr>
        <w:t>Discussão:</w:t>
      </w:r>
      <w:r w:rsidRPr="007A5D26">
        <w:rPr>
          <w:color w:val="1A1A1A"/>
          <w:sz w:val="22"/>
        </w:rPr>
        <w:t xml:space="preserve"> </w:t>
      </w:r>
      <w:proofErr w:type="gramStart"/>
      <w:r w:rsidRPr="007A5D26">
        <w:rPr>
          <w:color w:val="1A1A1A"/>
          <w:sz w:val="22"/>
        </w:rPr>
        <w:t>A</w:t>
      </w:r>
      <w:proofErr w:type="gramEnd"/>
      <w:r w:rsidRPr="007A5D26">
        <w:rPr>
          <w:color w:val="1A1A1A"/>
          <w:sz w:val="22"/>
        </w:rPr>
        <w:t xml:space="preserve"> LPF é caracterizada por perda parcial de tecido adiposo subcutâneo, o que resulta em deposição ectópica de gordura em órgãos. Essa condição contribui para resistência insulínica e diversas complicações metabólicas, estando associado a risco aumentado de doença cardiovascular. Os análogos do receptor GLP-1 (ARGLP1) surgem como alternativas promissoras no tratamento de pacientes com LPF. Apesar de não haver até o momento grandes estudos nessa população, alguns relatos de caso e um estudo retrospectivo incluindo 14 pacientes demonstraram segurança e eficácia do uso dessas medicações. Foi identificado redução do peso e dos níveis glicêmicos e de triglicerídeos, através de melhora da sensibilidade e secreção de insulina, redução da ingesta alimentar e possivelmente sensibilização central à leptina. </w:t>
      </w:r>
      <w:r w:rsidRPr="007A5D26">
        <w:rPr>
          <w:b/>
          <w:color w:val="1A1A1A"/>
          <w:sz w:val="22"/>
        </w:rPr>
        <w:t>Considerações finais</w:t>
      </w:r>
      <w:r w:rsidRPr="007A5D26">
        <w:rPr>
          <w:color w:val="1A1A1A"/>
          <w:sz w:val="22"/>
        </w:rPr>
        <w:t>: Apesar de as evidências de uso de ARGLP1 em pacientes com LPF ainda serem limitadas, os resultados de estudos parecem promissores. O uso deve ser abordado com cautela, considerando os potenciais riscos e benefícios.</w:t>
      </w:r>
    </w:p>
    <w:p w:rsidR="000B5910" w:rsidRDefault="000B5910">
      <w:pPr>
        <w:pBdr>
          <w:bottom w:val="single" w:sz="4" w:space="2" w:color="808080"/>
        </w:pBdr>
        <w:spacing w:before="160" w:after="40"/>
      </w:pPr>
    </w:p>
    <w:p w:rsidR="000B5910" w:rsidRPr="007A5D26" w:rsidRDefault="00057F5C">
      <w:pPr>
        <w:spacing w:after="0" w:line="252" w:lineRule="auto"/>
        <w:rPr>
          <w:sz w:val="16"/>
          <w:szCs w:val="16"/>
        </w:rPr>
      </w:pPr>
      <w:r w:rsidRPr="007A5D26">
        <w:rPr>
          <w:color w:val="595959"/>
          <w:sz w:val="16"/>
          <w:szCs w:val="16"/>
          <w:vertAlign w:val="superscript"/>
        </w:rPr>
        <w:t>1</w:t>
      </w:r>
      <w:r w:rsidRPr="007A5D26">
        <w:rPr>
          <w:color w:val="595959"/>
          <w:sz w:val="16"/>
          <w:szCs w:val="16"/>
        </w:rPr>
        <w:t xml:space="preserve"> Hospital Moinhos de Vento</w:t>
      </w:r>
    </w:p>
    <w:p w:rsidR="000B5910" w:rsidRDefault="000B5910">
      <w:pPr>
        <w:sectPr w:rsidR="000B5910">
          <w:headerReference w:type="default" r:id="rId39"/>
          <w:footerReference w:type="default" r:id="rId4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TENDÊNCIA TEMPORAL DE INTERNAÇÕES E MORTALIDADE POR DIABETES MELLITUS NO SUL DO BRASIL (2020-2025)</w:t>
      </w:r>
    </w:p>
    <w:p w:rsidR="000B5910" w:rsidRPr="00614276" w:rsidRDefault="00057F5C">
      <w:pPr>
        <w:spacing w:after="40" w:line="252" w:lineRule="auto"/>
        <w:jc w:val="right"/>
        <w:rPr>
          <w:szCs w:val="21"/>
        </w:rPr>
      </w:pPr>
      <w:r w:rsidRPr="00614276">
        <w:rPr>
          <w:color w:val="1A1A1A"/>
          <w:szCs w:val="21"/>
        </w:rPr>
        <w:t>Larissa de Souza Piardi</w:t>
      </w:r>
      <w:r w:rsidRPr="00614276">
        <w:rPr>
          <w:color w:val="1A1A1A"/>
          <w:szCs w:val="21"/>
          <w:vertAlign w:val="superscript"/>
        </w:rPr>
        <w:t>1</w:t>
      </w:r>
      <w:r w:rsidRPr="00614276">
        <w:rPr>
          <w:szCs w:val="21"/>
        </w:rPr>
        <w:br/>
      </w:r>
      <w:r w:rsidRPr="00614276">
        <w:rPr>
          <w:color w:val="1A1A1A"/>
          <w:szCs w:val="21"/>
        </w:rPr>
        <w:t>Sophia Scholz Boelter</w:t>
      </w:r>
      <w:r w:rsidRPr="00614276">
        <w:rPr>
          <w:color w:val="1A1A1A"/>
          <w:szCs w:val="21"/>
          <w:vertAlign w:val="superscript"/>
        </w:rPr>
        <w:t>1</w:t>
      </w:r>
      <w:r w:rsidRPr="00614276">
        <w:rPr>
          <w:szCs w:val="21"/>
        </w:rPr>
        <w:br/>
      </w:r>
      <w:r w:rsidRPr="00614276">
        <w:rPr>
          <w:color w:val="1A1A1A"/>
          <w:szCs w:val="21"/>
        </w:rPr>
        <w:t>Beatriz Cassel Corrêa</w:t>
      </w:r>
      <w:r w:rsidRPr="00614276">
        <w:rPr>
          <w:color w:val="1A1A1A"/>
          <w:szCs w:val="21"/>
          <w:vertAlign w:val="superscript"/>
        </w:rPr>
        <w:t>1</w:t>
      </w:r>
      <w:r w:rsidRPr="00614276">
        <w:rPr>
          <w:szCs w:val="21"/>
        </w:rPr>
        <w:br/>
      </w:r>
      <w:r w:rsidRPr="00614276">
        <w:rPr>
          <w:color w:val="1A1A1A"/>
          <w:szCs w:val="21"/>
        </w:rPr>
        <w:t>Gabriela Jacques Hoss</w:t>
      </w:r>
      <w:r w:rsidRPr="00614276">
        <w:rPr>
          <w:color w:val="1A1A1A"/>
          <w:szCs w:val="21"/>
          <w:vertAlign w:val="superscript"/>
        </w:rPr>
        <w:t>1</w:t>
      </w:r>
    </w:p>
    <w:p w:rsidR="000B5910" w:rsidRDefault="00057F5C">
      <w:pPr>
        <w:spacing w:before="240" w:after="100"/>
      </w:pPr>
      <w:r>
        <w:rPr>
          <w:b/>
          <w:color w:val="1A1A1A"/>
          <w:sz w:val="22"/>
        </w:rPr>
        <w:t>RESUMO</w:t>
      </w:r>
    </w:p>
    <w:p w:rsidR="000B5910" w:rsidRPr="00614276" w:rsidRDefault="00057F5C">
      <w:pPr>
        <w:spacing w:after="80"/>
        <w:jc w:val="both"/>
        <w:rPr>
          <w:sz w:val="22"/>
        </w:rPr>
      </w:pPr>
      <w:r w:rsidRPr="00614276">
        <w:rPr>
          <w:b/>
          <w:color w:val="1A1A1A"/>
          <w:sz w:val="22"/>
        </w:rPr>
        <w:t>Introdução:</w:t>
      </w:r>
      <w:r w:rsidRPr="00614276">
        <w:rPr>
          <w:color w:val="1A1A1A"/>
          <w:sz w:val="22"/>
        </w:rPr>
        <w:t xml:space="preserve"> O Diabetes Mellitus (DM) está entre as principais doenças crônicas não transmissíveis, sendo responsável por elevada carga de morbimortalidade e impacto significativo sobre o Sistema Único de Saúde (SUS). </w:t>
      </w:r>
      <w:proofErr w:type="gramStart"/>
      <w:r w:rsidRPr="00614276">
        <w:rPr>
          <w:color w:val="1A1A1A"/>
          <w:sz w:val="22"/>
        </w:rPr>
        <w:t>A</w:t>
      </w:r>
      <w:proofErr w:type="gramEnd"/>
      <w:r w:rsidRPr="00614276">
        <w:rPr>
          <w:color w:val="1A1A1A"/>
          <w:sz w:val="22"/>
        </w:rPr>
        <w:t xml:space="preserve"> análise temporal desses indicadores permite compreender mudanças no perfil assistencial e epidemiológico da doença. </w:t>
      </w:r>
      <w:r w:rsidRPr="00614276">
        <w:rPr>
          <w:b/>
          <w:color w:val="1A1A1A"/>
          <w:sz w:val="22"/>
        </w:rPr>
        <w:t>Objetivo:</w:t>
      </w:r>
      <w:r w:rsidRPr="00614276">
        <w:rPr>
          <w:color w:val="1A1A1A"/>
          <w:sz w:val="22"/>
        </w:rPr>
        <w:t xml:space="preserve"> Analisar a tendência temporal das internações, mortalidade hospitalar e taxa de letalidade por DM no Sul do Brasil entre 2020 e 2025. </w:t>
      </w:r>
      <w:r w:rsidRPr="00614276">
        <w:rPr>
          <w:b/>
          <w:color w:val="1A1A1A"/>
          <w:sz w:val="22"/>
        </w:rPr>
        <w:t>Métodos</w:t>
      </w:r>
      <w:r w:rsidRPr="00614276">
        <w:rPr>
          <w:color w:val="1A1A1A"/>
          <w:sz w:val="22"/>
        </w:rPr>
        <w:t xml:space="preserve">: Estudo retrospectivo com dados secundários do Sistema de Informações Hospitalares do SUS, incluindo internações por DM na Região Sul, no período de 2020 a 2025. Foram avaliados número de internações, óbitos hospitalares, taxa de letalidade, tempo médio de permanência e distribuição por sexo. </w:t>
      </w:r>
      <w:r w:rsidRPr="00614276">
        <w:rPr>
          <w:b/>
          <w:color w:val="1A1A1A"/>
          <w:sz w:val="22"/>
        </w:rPr>
        <w:t>Resultados:</w:t>
      </w:r>
      <w:r w:rsidRPr="00614276">
        <w:rPr>
          <w:color w:val="1A1A1A"/>
          <w:sz w:val="22"/>
        </w:rPr>
        <w:t xml:space="preserve"> Em 2020, houve redução das internações por DM na Região Sul, possivelmente associada à restrição de acesso hospitalar e à priorização de casos relacionados à COVID-19. A partir de 2021, houve aumento progressivo das hospitalizações, alcançando 19.312 registros em 2024, superando os valores pré-pandêmicos. Esse crescimento pode refletir tanto a retomada do acesso aos serviços quanto maior ocorrência de descompensações metabólicas e complicações crônicas acumuladas no período anterior. O pico de mortalidade hospitalar ocorreu em 2021, 827 óbitos, coincidindo com o período de maior sobrecarga assistencial. Contudo, observou-se redução consistente até 2024, 645 óbitos. A </w:t>
      </w:r>
      <w:proofErr w:type="gramStart"/>
      <w:r w:rsidRPr="00614276">
        <w:rPr>
          <w:color w:val="1A1A1A"/>
          <w:sz w:val="22"/>
        </w:rPr>
        <w:t>taxa</w:t>
      </w:r>
      <w:proofErr w:type="gramEnd"/>
      <w:r w:rsidRPr="00614276">
        <w:rPr>
          <w:color w:val="1A1A1A"/>
          <w:sz w:val="22"/>
        </w:rPr>
        <w:t xml:space="preserve"> de letalidade decresceu de 4,7% em 2021 para 3,3% em 2024, indicando melhora proporcional dos desfechos intra-hospitalares, mesmo diante do aumento absoluto das internações. O tempo médio de permanência apresentou discreta elevação de 5,3 para 5,7 dias, podendo sugerir maior complexidade clínica dos casos admitidos. Houve predomínio de internações no sexo masculino ao longo de todo o período, achado que pode estar relacionado a menor adesão ao tratamento ambulatorial e maior gravidade na apresentação clínica. </w:t>
      </w:r>
      <w:r w:rsidRPr="00614276">
        <w:rPr>
          <w:b/>
          <w:color w:val="1A1A1A"/>
          <w:sz w:val="22"/>
        </w:rPr>
        <w:t>Conclusão:</w:t>
      </w:r>
      <w:r w:rsidRPr="00614276">
        <w:rPr>
          <w:color w:val="1A1A1A"/>
          <w:sz w:val="22"/>
        </w:rPr>
        <w:t xml:space="preserve"> Na Região Sul do Brasil, o período pós-pandêmico foi marcado por aumento das internações por DM, possivelmente associado à demanda reprimida e maior descompensação metabólica. Entretanto, a redução da letalidade hospitalar sugere aprimoramento da assistência e do manejo clínico das complicações. O acompanhamento desses indicadores é essencial para o planejamento de estratégias regionais voltadas ao controle do DM e à redução de suas complicações.</w:t>
      </w:r>
    </w:p>
    <w:p w:rsidR="000B5910" w:rsidRDefault="000B5910">
      <w:pPr>
        <w:pBdr>
          <w:bottom w:val="single" w:sz="4" w:space="2" w:color="808080"/>
        </w:pBdr>
        <w:spacing w:before="160" w:after="40"/>
      </w:pPr>
    </w:p>
    <w:p w:rsidR="000B5910" w:rsidRPr="00614276" w:rsidRDefault="00057F5C">
      <w:pPr>
        <w:spacing w:after="0" w:line="252" w:lineRule="auto"/>
        <w:rPr>
          <w:sz w:val="16"/>
          <w:szCs w:val="16"/>
        </w:rPr>
      </w:pPr>
      <w:r w:rsidRPr="00614276">
        <w:rPr>
          <w:color w:val="595959"/>
          <w:sz w:val="16"/>
          <w:szCs w:val="16"/>
          <w:vertAlign w:val="superscript"/>
        </w:rPr>
        <w:t>1</w:t>
      </w:r>
      <w:r w:rsidRPr="00614276">
        <w:rPr>
          <w:color w:val="595959"/>
          <w:sz w:val="16"/>
          <w:szCs w:val="16"/>
        </w:rPr>
        <w:t xml:space="preserve"> Universidade de Santa Cruz do Sul-RS</w:t>
      </w:r>
    </w:p>
    <w:p w:rsidR="000B5910" w:rsidRDefault="000B5910">
      <w:pPr>
        <w:sectPr w:rsidR="000B5910">
          <w:headerReference w:type="default" r:id="rId41"/>
          <w:footerReference w:type="default" r:id="rId42"/>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EFEITO DO BEVACIZUMABE NA ACUIDADE VISUAL EM PACIENTES COM EDEMA MACULAR DIABÉTICA</w:t>
      </w:r>
    </w:p>
    <w:p w:rsidR="000B5910" w:rsidRPr="00614276" w:rsidRDefault="00057F5C">
      <w:pPr>
        <w:spacing w:after="40" w:line="252" w:lineRule="auto"/>
        <w:jc w:val="right"/>
        <w:rPr>
          <w:szCs w:val="21"/>
        </w:rPr>
      </w:pPr>
      <w:r w:rsidRPr="00614276">
        <w:rPr>
          <w:color w:val="1A1A1A"/>
          <w:szCs w:val="21"/>
        </w:rPr>
        <w:t>Indianara do Amaral Alves</w:t>
      </w:r>
      <w:r w:rsidRPr="00614276">
        <w:rPr>
          <w:color w:val="1A1A1A"/>
          <w:szCs w:val="21"/>
          <w:vertAlign w:val="superscript"/>
        </w:rPr>
        <w:t>1</w:t>
      </w:r>
      <w:r w:rsidRPr="00614276">
        <w:rPr>
          <w:szCs w:val="21"/>
        </w:rPr>
        <w:br/>
      </w:r>
      <w:r w:rsidRPr="00614276">
        <w:rPr>
          <w:color w:val="1A1A1A"/>
          <w:szCs w:val="21"/>
        </w:rPr>
        <w:t>Laís Coan Fontanela</w:t>
      </w:r>
      <w:r w:rsidRPr="00614276">
        <w:rPr>
          <w:color w:val="1A1A1A"/>
          <w:szCs w:val="21"/>
          <w:vertAlign w:val="superscript"/>
        </w:rPr>
        <w:t>1</w:t>
      </w:r>
      <w:r w:rsidRPr="00614276">
        <w:rPr>
          <w:szCs w:val="21"/>
        </w:rPr>
        <w:br/>
      </w:r>
      <w:r w:rsidRPr="00614276">
        <w:rPr>
          <w:color w:val="1A1A1A"/>
          <w:szCs w:val="21"/>
        </w:rPr>
        <w:t>Bruno Lovaglio Cançado Trindade</w:t>
      </w:r>
      <w:r w:rsidRPr="00614276">
        <w:rPr>
          <w:color w:val="1A1A1A"/>
          <w:szCs w:val="21"/>
          <w:vertAlign w:val="superscript"/>
        </w:rPr>
        <w:t>2</w:t>
      </w:r>
      <w:r w:rsidRPr="00614276">
        <w:rPr>
          <w:szCs w:val="21"/>
        </w:rPr>
        <w:br/>
      </w:r>
      <w:r w:rsidRPr="00614276">
        <w:rPr>
          <w:color w:val="1A1A1A"/>
          <w:szCs w:val="21"/>
        </w:rPr>
        <w:t>Erika Pacheco Magalhães Diniz</w:t>
      </w:r>
      <w:r w:rsidRPr="00614276">
        <w:rPr>
          <w:color w:val="1A1A1A"/>
          <w:szCs w:val="21"/>
          <w:vertAlign w:val="superscript"/>
        </w:rPr>
        <w:t>3</w:t>
      </w:r>
      <w:r w:rsidRPr="00614276">
        <w:rPr>
          <w:szCs w:val="21"/>
        </w:rPr>
        <w:br/>
      </w:r>
      <w:r w:rsidRPr="00614276">
        <w:rPr>
          <w:color w:val="1A1A1A"/>
          <w:szCs w:val="21"/>
        </w:rPr>
        <w:t>Nelson Chamma Capelanes</w:t>
      </w:r>
      <w:r w:rsidRPr="00614276">
        <w:rPr>
          <w:color w:val="1A1A1A"/>
          <w:szCs w:val="21"/>
          <w:vertAlign w:val="superscript"/>
        </w:rPr>
        <w:t>4</w:t>
      </w:r>
      <w:r w:rsidRPr="00614276">
        <w:rPr>
          <w:szCs w:val="21"/>
        </w:rPr>
        <w:br/>
      </w:r>
      <w:r w:rsidRPr="00614276">
        <w:rPr>
          <w:color w:val="1A1A1A"/>
          <w:szCs w:val="21"/>
        </w:rPr>
        <w:t>Gabriel Vinicius Trindade de Abreu</w:t>
      </w:r>
      <w:r w:rsidRPr="00614276">
        <w:rPr>
          <w:color w:val="1A1A1A"/>
          <w:szCs w:val="21"/>
          <w:vertAlign w:val="superscript"/>
        </w:rPr>
        <w:t>5</w:t>
      </w:r>
      <w:r w:rsidRPr="00614276">
        <w:rPr>
          <w:szCs w:val="21"/>
        </w:rPr>
        <w:br/>
      </w:r>
      <w:r w:rsidRPr="00614276">
        <w:rPr>
          <w:color w:val="1A1A1A"/>
          <w:szCs w:val="21"/>
        </w:rPr>
        <w:t>Leandra Duarte Bastos</w:t>
      </w:r>
      <w:r w:rsidRPr="00614276">
        <w:rPr>
          <w:color w:val="1A1A1A"/>
          <w:szCs w:val="21"/>
          <w:vertAlign w:val="superscript"/>
        </w:rPr>
        <w:t>6</w:t>
      </w:r>
      <w:r w:rsidRPr="00614276">
        <w:rPr>
          <w:szCs w:val="21"/>
        </w:rPr>
        <w:br/>
      </w:r>
      <w:r w:rsidRPr="00614276">
        <w:rPr>
          <w:color w:val="1A1A1A"/>
          <w:szCs w:val="21"/>
        </w:rPr>
        <w:t>Aleida Nazareth Soares</w:t>
      </w:r>
      <w:r w:rsidRPr="00614276">
        <w:rPr>
          <w:color w:val="1A1A1A"/>
          <w:szCs w:val="21"/>
          <w:vertAlign w:val="superscript"/>
        </w:rPr>
        <w:t>7</w:t>
      </w:r>
      <w:r w:rsidRPr="00614276">
        <w:rPr>
          <w:szCs w:val="21"/>
        </w:rPr>
        <w:br/>
      </w:r>
      <w:r w:rsidRPr="00614276">
        <w:rPr>
          <w:color w:val="1A1A1A"/>
          <w:szCs w:val="21"/>
        </w:rPr>
        <w:t>Alessandra Hubner de Souza</w:t>
      </w:r>
      <w:r w:rsidRPr="00614276">
        <w:rPr>
          <w:color w:val="1A1A1A"/>
          <w:szCs w:val="21"/>
          <w:vertAlign w:val="superscript"/>
        </w:rPr>
        <w:t>8</w:t>
      </w:r>
    </w:p>
    <w:p w:rsidR="000B5910" w:rsidRDefault="00057F5C">
      <w:pPr>
        <w:spacing w:before="200" w:after="100"/>
        <w:rPr>
          <w:sz w:val="22"/>
        </w:rPr>
      </w:pPr>
      <w:r>
        <w:rPr>
          <w:b/>
          <w:color w:val="1A1A1A"/>
          <w:sz w:val="22"/>
        </w:rPr>
        <w:t>RESUMO</w:t>
      </w:r>
    </w:p>
    <w:p w:rsidR="000B5910" w:rsidRPr="00614276" w:rsidRDefault="00057F5C">
      <w:pPr>
        <w:spacing w:after="80" w:line="264" w:lineRule="auto"/>
        <w:jc w:val="both"/>
        <w:rPr>
          <w:sz w:val="22"/>
        </w:rPr>
      </w:pPr>
      <w:r w:rsidRPr="00614276">
        <w:rPr>
          <w:b/>
          <w:color w:val="1A1A1A"/>
          <w:sz w:val="22"/>
        </w:rPr>
        <w:t>Introdução:</w:t>
      </w:r>
      <w:r w:rsidRPr="00614276">
        <w:rPr>
          <w:color w:val="1A1A1A"/>
          <w:sz w:val="22"/>
        </w:rPr>
        <w:t xml:space="preserve"> O edema macular diabético (EMD) é uma das principais causas de perda visual em pacientes com retinopatia diabética, resultante de alterações microvasculares associadas, entre outros fatores, à superexpressão do fator de crescimento endotelial vascular (VEGF). O tratamento com agentes anti-VEGF, como o bevacizumabe intravítreo, tem demonstrado benefícios funcionais importantes em pacientes com EMD. </w:t>
      </w:r>
      <w:r w:rsidRPr="00614276">
        <w:rPr>
          <w:b/>
          <w:color w:val="1A1A1A"/>
          <w:sz w:val="22"/>
        </w:rPr>
        <w:t xml:space="preserve">Objetivo: </w:t>
      </w:r>
      <w:r w:rsidRPr="00614276">
        <w:rPr>
          <w:color w:val="1A1A1A"/>
          <w:sz w:val="22"/>
        </w:rPr>
        <w:t xml:space="preserve">Avaliar mudanças na acuidade visual corrigida (BCVA) em pacientes com edema macular diabético tratados com bevacizumabe intravítreo num contexto de saúde pública. </w:t>
      </w:r>
      <w:r w:rsidRPr="00614276">
        <w:rPr>
          <w:b/>
          <w:color w:val="1A1A1A"/>
          <w:sz w:val="22"/>
        </w:rPr>
        <w:t>Métodos</w:t>
      </w:r>
      <w:r w:rsidRPr="00614276">
        <w:rPr>
          <w:color w:val="1A1A1A"/>
          <w:sz w:val="22"/>
        </w:rPr>
        <w:t xml:space="preserve">: Estudo prospectivo observacional realizado em um centro público de referência em oftalmologia no Brasil entre maio de 2024 e abril de 2025. Pacientes adultos com EMD receberam injeções mensais de bevacizumabe intravítreo (1,25 mg/0,05 mL). </w:t>
      </w:r>
      <w:proofErr w:type="gramStart"/>
      <w:r w:rsidRPr="00614276">
        <w:rPr>
          <w:color w:val="1A1A1A"/>
          <w:sz w:val="22"/>
        </w:rPr>
        <w:t>A</w:t>
      </w:r>
      <w:proofErr w:type="gramEnd"/>
      <w:r w:rsidRPr="00614276">
        <w:rPr>
          <w:color w:val="1A1A1A"/>
          <w:sz w:val="22"/>
        </w:rPr>
        <w:t xml:space="preserve"> acuidade visual corrigida (BCVA) foi avaliada em escala LogMAR no basal, após 1 mês e 3 meses de seguimento. A normalidade dos dados foi avaliada pelo teste de Kolmogorov-Smirnov. A comparação longitudinal foi realizada pelo teste de Friedman, seguida do teste pós-hoc de Dunn para comparações pareadas. Foi utilizado um nível de significância de 5%.</w:t>
      </w:r>
      <w:r w:rsidRPr="00614276">
        <w:rPr>
          <w:b/>
          <w:color w:val="1A1A1A"/>
          <w:sz w:val="22"/>
        </w:rPr>
        <w:t xml:space="preserve"> Resultados: </w:t>
      </w:r>
      <w:r w:rsidRPr="00614276">
        <w:rPr>
          <w:color w:val="1A1A1A"/>
          <w:sz w:val="22"/>
        </w:rPr>
        <w:t>Dos 291 pacientes inicialmente avaliados, 84 olhos de 66 pacientes com EMD foram incluídos na análise final. A média de idade foi de 62,6 ± 8,0 anos, sendo 59,1% do sexo feminino. Observou-se diferença significativa na BCVA ao longo do seguimento (teste de Friedman, p &lt; 0,001). Nas comparações pareadas, não houve diferença significativa entre o basal e 1 mês (p = 0,740), enquanto melhora significativa foi observada entre o basal e 3 meses (p &lt; 0,001) e entre 1 e 3 meses (p = 0,011). Aos três meses de acompanhamento, 52,4% dos olhos apresentaram melhora da acuidade visual, 41,7% permaneceram estáveis e 6,0% apresentaram piora.</w:t>
      </w:r>
      <w:r w:rsidRPr="00614276">
        <w:rPr>
          <w:b/>
          <w:color w:val="1A1A1A"/>
          <w:sz w:val="22"/>
        </w:rPr>
        <w:t xml:space="preserve"> Conclusão:</w:t>
      </w:r>
      <w:r w:rsidRPr="00614276">
        <w:rPr>
          <w:color w:val="1A1A1A"/>
          <w:sz w:val="22"/>
        </w:rPr>
        <w:t xml:space="preserve"> Pacientes com EMD tratados com bevacizumabe intravítreo apresentaram melhora significativa da BCVA ao longo de três meses de seguimento, com benefício funcional observado principalmente após o terceiro mês de tratamento. </w:t>
      </w:r>
    </w:p>
    <w:p w:rsidR="000B5910" w:rsidRDefault="000B5910">
      <w:pPr>
        <w:pBdr>
          <w:bottom w:val="single" w:sz="4" w:space="2" w:color="808080"/>
        </w:pBdr>
        <w:spacing w:before="120" w:after="40"/>
      </w:pPr>
    </w:p>
    <w:p w:rsidR="000B5910" w:rsidRPr="00614276" w:rsidRDefault="00057F5C">
      <w:pPr>
        <w:spacing w:after="0" w:line="252" w:lineRule="auto"/>
        <w:rPr>
          <w:sz w:val="16"/>
          <w:szCs w:val="16"/>
        </w:rPr>
      </w:pPr>
      <w:r w:rsidRPr="00614276">
        <w:rPr>
          <w:color w:val="595959"/>
          <w:sz w:val="16"/>
          <w:szCs w:val="16"/>
          <w:vertAlign w:val="superscript"/>
        </w:rPr>
        <w:t>1</w:t>
      </w:r>
      <w:r w:rsidRPr="00614276">
        <w:rPr>
          <w:color w:val="595959"/>
          <w:sz w:val="16"/>
          <w:szCs w:val="16"/>
        </w:rPr>
        <w:t xml:space="preserve"> Universidade Luterana do Brasil - ULBRA</w:t>
      </w:r>
    </w:p>
    <w:p w:rsidR="000B5910" w:rsidRPr="00614276" w:rsidRDefault="00057F5C">
      <w:pPr>
        <w:spacing w:after="0" w:line="252" w:lineRule="auto"/>
        <w:rPr>
          <w:sz w:val="16"/>
          <w:szCs w:val="16"/>
        </w:rPr>
      </w:pPr>
      <w:r w:rsidRPr="00614276">
        <w:rPr>
          <w:color w:val="595959"/>
          <w:sz w:val="16"/>
          <w:szCs w:val="16"/>
          <w:vertAlign w:val="superscript"/>
        </w:rPr>
        <w:t>2</w:t>
      </w:r>
      <w:r w:rsidRPr="00614276">
        <w:rPr>
          <w:color w:val="595959"/>
          <w:sz w:val="16"/>
          <w:szCs w:val="16"/>
        </w:rPr>
        <w:t xml:space="preserve"> Instituto de Olhos Ciências Médicas de Minas Gerais- Minas Gerais, Brasil &amp; Faculdade Ciências Médicas de Minas Gerais, Minas Gerais, Brasil</w:t>
      </w:r>
    </w:p>
    <w:p w:rsidR="000B5910" w:rsidRPr="00614276" w:rsidRDefault="00057F5C">
      <w:pPr>
        <w:spacing w:after="0" w:line="252" w:lineRule="auto"/>
        <w:rPr>
          <w:sz w:val="16"/>
          <w:szCs w:val="16"/>
        </w:rPr>
      </w:pPr>
      <w:r w:rsidRPr="00614276">
        <w:rPr>
          <w:color w:val="595959"/>
          <w:sz w:val="16"/>
          <w:szCs w:val="16"/>
          <w:vertAlign w:val="superscript"/>
        </w:rPr>
        <w:t>3</w:t>
      </w:r>
      <w:r w:rsidRPr="00614276">
        <w:rPr>
          <w:color w:val="595959"/>
          <w:sz w:val="16"/>
          <w:szCs w:val="16"/>
        </w:rPr>
        <w:t xml:space="preserve"> Instituto de Olhos Ciências Médicas de Minas Gerais - MG</w:t>
      </w:r>
    </w:p>
    <w:p w:rsidR="000B5910" w:rsidRPr="00614276" w:rsidRDefault="00057F5C">
      <w:pPr>
        <w:spacing w:after="0" w:line="252" w:lineRule="auto"/>
        <w:rPr>
          <w:sz w:val="16"/>
          <w:szCs w:val="16"/>
        </w:rPr>
      </w:pPr>
      <w:r w:rsidRPr="00614276">
        <w:rPr>
          <w:color w:val="595959"/>
          <w:sz w:val="16"/>
          <w:szCs w:val="16"/>
          <w:vertAlign w:val="superscript"/>
        </w:rPr>
        <w:t>4</w:t>
      </w:r>
      <w:r w:rsidRPr="00614276">
        <w:rPr>
          <w:color w:val="595959"/>
          <w:sz w:val="16"/>
          <w:szCs w:val="16"/>
        </w:rPr>
        <w:t xml:space="preserve"> Universidade Federal de São Paulo, São Paulo, Brasil</w:t>
      </w:r>
    </w:p>
    <w:p w:rsidR="000B5910" w:rsidRPr="00614276" w:rsidRDefault="00057F5C">
      <w:pPr>
        <w:spacing w:after="0" w:line="252" w:lineRule="auto"/>
        <w:rPr>
          <w:sz w:val="16"/>
          <w:szCs w:val="16"/>
        </w:rPr>
      </w:pPr>
      <w:r w:rsidRPr="00614276">
        <w:rPr>
          <w:color w:val="595959"/>
          <w:sz w:val="16"/>
          <w:szCs w:val="16"/>
          <w:vertAlign w:val="superscript"/>
        </w:rPr>
        <w:t>5</w:t>
      </w:r>
      <w:r w:rsidRPr="00614276">
        <w:rPr>
          <w:color w:val="595959"/>
          <w:sz w:val="16"/>
          <w:szCs w:val="16"/>
        </w:rPr>
        <w:t xml:space="preserve"> Instituto de Olhos Ciências Médicas de Minas Gerais, Minas Gerais, Brasil &amp; Faculdade Ciências Médicas de Minas Gerais, Minas Gerais, Brasil</w:t>
      </w:r>
    </w:p>
    <w:p w:rsidR="000B5910" w:rsidRPr="00614276" w:rsidRDefault="00057F5C">
      <w:pPr>
        <w:spacing w:after="0" w:line="252" w:lineRule="auto"/>
        <w:rPr>
          <w:sz w:val="16"/>
          <w:szCs w:val="16"/>
        </w:rPr>
      </w:pPr>
      <w:r w:rsidRPr="00614276">
        <w:rPr>
          <w:color w:val="595959"/>
          <w:sz w:val="16"/>
          <w:szCs w:val="16"/>
          <w:vertAlign w:val="superscript"/>
        </w:rPr>
        <w:t>6</w:t>
      </w:r>
      <w:r w:rsidRPr="00614276">
        <w:rPr>
          <w:color w:val="595959"/>
          <w:sz w:val="16"/>
          <w:szCs w:val="16"/>
        </w:rPr>
        <w:t xml:space="preserve"> Instituto de Olhos Ciências Médicas de Minas Gerais, Minas Gerais</w:t>
      </w:r>
    </w:p>
    <w:p w:rsidR="000B5910" w:rsidRPr="00614276" w:rsidRDefault="00057F5C">
      <w:pPr>
        <w:spacing w:after="0" w:line="252" w:lineRule="auto"/>
        <w:rPr>
          <w:sz w:val="16"/>
          <w:szCs w:val="16"/>
        </w:rPr>
      </w:pPr>
      <w:r w:rsidRPr="00614276">
        <w:rPr>
          <w:color w:val="595959"/>
          <w:sz w:val="16"/>
          <w:szCs w:val="16"/>
          <w:vertAlign w:val="superscript"/>
        </w:rPr>
        <w:t>7</w:t>
      </w:r>
      <w:r w:rsidRPr="00614276">
        <w:rPr>
          <w:color w:val="595959"/>
          <w:sz w:val="16"/>
          <w:szCs w:val="16"/>
        </w:rPr>
        <w:t xml:space="preserve"> Faculdade de Saúde Santa Casa de Belo Horizonte, Minas Gerais, Brasil</w:t>
      </w:r>
    </w:p>
    <w:p w:rsidR="000B5910" w:rsidRPr="00614276" w:rsidRDefault="00057F5C">
      <w:pPr>
        <w:spacing w:after="0" w:line="252" w:lineRule="auto"/>
        <w:rPr>
          <w:sz w:val="16"/>
          <w:szCs w:val="16"/>
        </w:rPr>
      </w:pPr>
      <w:r w:rsidRPr="00614276">
        <w:rPr>
          <w:color w:val="595959"/>
          <w:sz w:val="16"/>
          <w:szCs w:val="16"/>
          <w:vertAlign w:val="superscript"/>
        </w:rPr>
        <w:t>8</w:t>
      </w:r>
      <w:r w:rsidRPr="00614276">
        <w:rPr>
          <w:color w:val="595959"/>
          <w:sz w:val="16"/>
          <w:szCs w:val="16"/>
        </w:rPr>
        <w:t xml:space="preserve"> Universidade Luterana do Brasil - ULBRA &amp; Faculdade Ciências Médicas de Minas Gerais, Minas Gerais, Brasil</w:t>
      </w:r>
    </w:p>
    <w:p w:rsidR="000B5910" w:rsidRDefault="000B5910">
      <w:pPr>
        <w:sectPr w:rsidR="000B5910">
          <w:headerReference w:type="default" r:id="rId43"/>
          <w:footerReference w:type="default" r:id="rId44"/>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MONITORIZAÇÃO CONTÍNUA DA GLICOSE NO DIABETES MELLITUS GESTACIONAL: UMA REVISÃO SISTEMÁTICA</w:t>
      </w:r>
    </w:p>
    <w:p w:rsidR="000B5910" w:rsidRPr="00614276" w:rsidRDefault="00057F5C">
      <w:pPr>
        <w:spacing w:after="40" w:line="252" w:lineRule="auto"/>
        <w:jc w:val="right"/>
        <w:rPr>
          <w:szCs w:val="21"/>
        </w:rPr>
      </w:pPr>
      <w:r w:rsidRPr="00614276">
        <w:rPr>
          <w:color w:val="1A1A1A"/>
          <w:szCs w:val="21"/>
        </w:rPr>
        <w:t>Lara Willers Lobato</w:t>
      </w:r>
      <w:r w:rsidRPr="00614276">
        <w:rPr>
          <w:color w:val="1A1A1A"/>
          <w:szCs w:val="21"/>
          <w:vertAlign w:val="superscript"/>
        </w:rPr>
        <w:t>1</w:t>
      </w:r>
      <w:r w:rsidRPr="00614276">
        <w:rPr>
          <w:szCs w:val="21"/>
        </w:rPr>
        <w:br/>
      </w:r>
      <w:r w:rsidRPr="00614276">
        <w:rPr>
          <w:color w:val="1A1A1A"/>
          <w:szCs w:val="21"/>
        </w:rPr>
        <w:t>Pedro Antonio Paludo Menna Barreto</w:t>
      </w:r>
      <w:r w:rsidRPr="00614276">
        <w:rPr>
          <w:color w:val="1A1A1A"/>
          <w:szCs w:val="21"/>
          <w:vertAlign w:val="superscript"/>
        </w:rPr>
        <w:t>1</w:t>
      </w:r>
      <w:r w:rsidRPr="00614276">
        <w:rPr>
          <w:szCs w:val="21"/>
        </w:rPr>
        <w:br/>
      </w:r>
      <w:r w:rsidRPr="00614276">
        <w:rPr>
          <w:color w:val="1A1A1A"/>
          <w:szCs w:val="21"/>
        </w:rPr>
        <w:t>Laura Prass Schossler</w:t>
      </w:r>
      <w:r w:rsidRPr="00614276">
        <w:rPr>
          <w:color w:val="1A1A1A"/>
          <w:szCs w:val="21"/>
          <w:vertAlign w:val="superscript"/>
        </w:rPr>
        <w:t>2</w:t>
      </w:r>
      <w:r w:rsidRPr="00614276">
        <w:rPr>
          <w:szCs w:val="21"/>
        </w:rPr>
        <w:br/>
      </w:r>
      <w:r w:rsidRPr="00614276">
        <w:rPr>
          <w:color w:val="1A1A1A"/>
          <w:szCs w:val="21"/>
        </w:rPr>
        <w:t>Hárisson Lucas Hossa</w:t>
      </w:r>
      <w:r w:rsidRPr="00614276">
        <w:rPr>
          <w:color w:val="1A1A1A"/>
          <w:szCs w:val="21"/>
          <w:vertAlign w:val="superscript"/>
        </w:rPr>
        <w:t>3</w:t>
      </w:r>
      <w:r w:rsidRPr="00614276">
        <w:rPr>
          <w:szCs w:val="21"/>
        </w:rPr>
        <w:br/>
      </w:r>
      <w:r w:rsidRPr="00614276">
        <w:rPr>
          <w:color w:val="1A1A1A"/>
          <w:szCs w:val="21"/>
        </w:rPr>
        <w:t>Gabriela Wosniak Cavaletti</w:t>
      </w:r>
      <w:r w:rsidRPr="00614276">
        <w:rPr>
          <w:color w:val="1A1A1A"/>
          <w:szCs w:val="21"/>
          <w:vertAlign w:val="superscript"/>
        </w:rPr>
        <w:t>4</w:t>
      </w:r>
      <w:r w:rsidRPr="00614276">
        <w:rPr>
          <w:szCs w:val="21"/>
        </w:rPr>
        <w:br/>
      </w:r>
      <w:r w:rsidRPr="00614276">
        <w:rPr>
          <w:color w:val="1A1A1A"/>
          <w:szCs w:val="21"/>
        </w:rPr>
        <w:t>Gabriela Pieniz Deboni</w:t>
      </w:r>
      <w:r w:rsidRPr="00614276">
        <w:rPr>
          <w:color w:val="1A1A1A"/>
          <w:szCs w:val="21"/>
          <w:vertAlign w:val="superscript"/>
        </w:rPr>
        <w:t>5</w:t>
      </w:r>
      <w:r w:rsidRPr="00614276">
        <w:rPr>
          <w:szCs w:val="21"/>
        </w:rPr>
        <w:br/>
      </w:r>
      <w:r w:rsidRPr="00614276">
        <w:rPr>
          <w:color w:val="1A1A1A"/>
          <w:szCs w:val="21"/>
        </w:rPr>
        <w:t>Camila Felix Simianer</w:t>
      </w:r>
      <w:r w:rsidRPr="00614276">
        <w:rPr>
          <w:color w:val="1A1A1A"/>
          <w:szCs w:val="21"/>
          <w:vertAlign w:val="superscript"/>
        </w:rPr>
        <w:t>3</w:t>
      </w:r>
    </w:p>
    <w:p w:rsidR="000B5910" w:rsidRDefault="00057F5C">
      <w:pPr>
        <w:spacing w:before="200" w:after="100"/>
        <w:rPr>
          <w:sz w:val="22"/>
        </w:rPr>
      </w:pPr>
      <w:r>
        <w:rPr>
          <w:b/>
          <w:color w:val="1A1A1A"/>
          <w:sz w:val="22"/>
        </w:rPr>
        <w:t>RESUMO</w:t>
      </w:r>
    </w:p>
    <w:p w:rsidR="000B5910" w:rsidRPr="00614276" w:rsidRDefault="00057F5C">
      <w:pPr>
        <w:spacing w:after="80" w:line="264" w:lineRule="auto"/>
        <w:jc w:val="both"/>
        <w:rPr>
          <w:sz w:val="22"/>
        </w:rPr>
      </w:pPr>
      <w:r w:rsidRPr="00614276">
        <w:rPr>
          <w:b/>
          <w:color w:val="1A1A1A"/>
          <w:sz w:val="22"/>
        </w:rPr>
        <w:t>Introdução</w:t>
      </w:r>
      <w:r w:rsidRPr="00614276">
        <w:rPr>
          <w:color w:val="1A1A1A"/>
          <w:sz w:val="22"/>
        </w:rPr>
        <w:t xml:space="preserve">: O diabetes mellitus gestacional (DMG) é uma complicação metabólica caracterizada pelahiperglicemia diagnosticada durante a gestação. Devido às suas potenciais repercussões maternas e fetais, essa condição representa um importante problema de saúde pública, associada a maior risco de complicações durante a gestação, parto e período pós-natal. O monitoramento glicêmico constitui um elemento central do manejo, sendo tradicionalmente realizado por meio da monitorização capilar da glicose (SMBG). Recentemente, sistemas de monitorização contínua da glicose (CGM) têm sido utilizados para caracterizar de forma mais abrangente o perfil glicêmico das gestantes com DMG. </w:t>
      </w:r>
      <w:r w:rsidRPr="00614276">
        <w:rPr>
          <w:b/>
          <w:color w:val="1A1A1A"/>
          <w:sz w:val="22"/>
        </w:rPr>
        <w:t>Objetivo:</w:t>
      </w:r>
      <w:r w:rsidRPr="00614276">
        <w:rPr>
          <w:color w:val="1A1A1A"/>
          <w:sz w:val="22"/>
        </w:rPr>
        <w:t xml:space="preserve"> Avaliar o impacto da monitorização contínua da glicose no controle glicêmico e nos desfechos maternos e neonatais em gestantes com diabetes mellitus gestacional. </w:t>
      </w:r>
      <w:r w:rsidRPr="00614276">
        <w:rPr>
          <w:b/>
          <w:color w:val="1A1A1A"/>
          <w:sz w:val="22"/>
        </w:rPr>
        <w:t>Métodos:</w:t>
      </w:r>
      <w:r w:rsidRPr="00614276">
        <w:rPr>
          <w:color w:val="1A1A1A"/>
          <w:sz w:val="22"/>
        </w:rPr>
        <w:t xml:space="preserve"> Foi realizada uma revisão sistemática da literatura de acordo com as recomendações PRISMA. A busca foi conduzida nas bases PubMed e Europe PMC considerando estudos publicados entre 2018 e 2025. Foram incluídos estudos que avaliaram gestantes com DMG submetidas à monitorização contínua da glicose (CGM) em comparação à monitoração capilar (SMBG), com análise de desfechos glicêmicos, maternos e neonatais. Ensaios clínicos e estudos observacionais publicados em inglês foram considerados elegíveis. A seleção dos estudos foi realizada por dois revisores independentes na plataforma Rayyan</w:t>
      </w:r>
      <w:r w:rsidRPr="00614276">
        <w:rPr>
          <w:b/>
          <w:color w:val="1A1A1A"/>
          <w:sz w:val="22"/>
        </w:rPr>
        <w:t>. Resultados</w:t>
      </w:r>
      <w:r w:rsidRPr="00614276">
        <w:rPr>
          <w:color w:val="1A1A1A"/>
          <w:sz w:val="22"/>
        </w:rPr>
        <w:t xml:space="preserve">: A busca identificou 173 estudos nas bases consultadas. Após exclusão de duplicadas e triagem de títulos e resumos, 17 artigos foram avaliados em texto completo, sendo 13 incluídos na análise final. De modo geral, os estudos demonstraram que o uso da monitorização contínua da glicose está associado a melhor controle glicêmico, maior detecção de hiperglicemia noturna, redução de episódios de hipoglicemia e melhores desfechos maternos e neonatais. Alguns estudos também relataram preferência das gestantes pelo método CGM e redução de sintomas ansiosos. Entretanto, parte dos estudos não encontrou superioridade significativa do CGM em relação ao SMBG nos resultados perinatais. </w:t>
      </w:r>
      <w:r w:rsidRPr="00614276">
        <w:rPr>
          <w:b/>
          <w:color w:val="1A1A1A"/>
          <w:sz w:val="22"/>
        </w:rPr>
        <w:t>Conclusão</w:t>
      </w:r>
      <w:r w:rsidRPr="00614276">
        <w:rPr>
          <w:color w:val="1A1A1A"/>
          <w:sz w:val="22"/>
        </w:rPr>
        <w:t>: A monitorização contínua da glicose pode melhorar o controle glicêmico e permitir avaliação mais detalhada do perfil glicêmico em gestantes com diabetes mellitus gestacional. Contudo, os resultados ainda são heterogêneos, sendo necessários mais estudos para confirmar seu impacto nos desfechos maternos e neonatais.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UFCSPA</w:t>
      </w:r>
    </w:p>
    <w:p w:rsidR="000B5910" w:rsidRDefault="00057F5C">
      <w:pPr>
        <w:spacing w:after="0" w:line="252" w:lineRule="auto"/>
      </w:pPr>
      <w:r>
        <w:rPr>
          <w:color w:val="595959"/>
          <w:sz w:val="13"/>
          <w:vertAlign w:val="superscript"/>
        </w:rPr>
        <w:t>2</w:t>
      </w:r>
      <w:r>
        <w:rPr>
          <w:color w:val="595959"/>
          <w:sz w:val="16"/>
        </w:rPr>
        <w:t xml:space="preserve"> UNIVATES</w:t>
      </w:r>
    </w:p>
    <w:p w:rsidR="000B5910" w:rsidRDefault="00057F5C">
      <w:pPr>
        <w:spacing w:after="0" w:line="252" w:lineRule="auto"/>
      </w:pPr>
      <w:r>
        <w:rPr>
          <w:color w:val="595959"/>
          <w:sz w:val="13"/>
          <w:vertAlign w:val="superscript"/>
        </w:rPr>
        <w:t>3</w:t>
      </w:r>
      <w:r>
        <w:rPr>
          <w:color w:val="595959"/>
          <w:sz w:val="16"/>
        </w:rPr>
        <w:t xml:space="preserve"> FEEVALE</w:t>
      </w:r>
    </w:p>
    <w:p w:rsidR="000B5910" w:rsidRDefault="00057F5C">
      <w:pPr>
        <w:spacing w:after="0" w:line="252" w:lineRule="auto"/>
      </w:pPr>
      <w:r>
        <w:rPr>
          <w:color w:val="595959"/>
          <w:sz w:val="13"/>
          <w:vertAlign w:val="superscript"/>
        </w:rPr>
        <w:t>4</w:t>
      </w:r>
      <w:r>
        <w:rPr>
          <w:color w:val="595959"/>
          <w:sz w:val="16"/>
        </w:rPr>
        <w:t xml:space="preserve"> ATITUS</w:t>
      </w:r>
    </w:p>
    <w:p w:rsidR="000B5910" w:rsidRDefault="00057F5C">
      <w:pPr>
        <w:spacing w:after="0" w:line="252" w:lineRule="auto"/>
      </w:pPr>
      <w:r>
        <w:rPr>
          <w:color w:val="595959"/>
          <w:sz w:val="13"/>
          <w:vertAlign w:val="superscript"/>
        </w:rPr>
        <w:t>5</w:t>
      </w:r>
      <w:r>
        <w:rPr>
          <w:color w:val="595959"/>
          <w:sz w:val="16"/>
        </w:rPr>
        <w:t xml:space="preserve"> ULBRA</w:t>
      </w:r>
    </w:p>
    <w:p w:rsidR="000B5910" w:rsidRDefault="000B5910">
      <w:pPr>
        <w:sectPr w:rsidR="000B5910">
          <w:headerReference w:type="default" r:id="rId45"/>
          <w:footerReference w:type="default" r:id="rId46"/>
          <w:pgSz w:w="12240" w:h="15840"/>
          <w:pgMar w:top="1417" w:right="1417" w:bottom="1417" w:left="1417" w:header="680" w:footer="680" w:gutter="0"/>
          <w:cols w:space="720"/>
        </w:sectPr>
      </w:pPr>
    </w:p>
    <w:p w:rsidR="000B5910" w:rsidRDefault="00057F5C">
      <w:pPr>
        <w:spacing w:before="80" w:line="252" w:lineRule="auto"/>
        <w:jc w:val="center"/>
        <w:rPr>
          <w:spacing w:val="-11"/>
          <w:sz w:val="28"/>
          <w:szCs w:val="28"/>
        </w:rPr>
      </w:pPr>
      <w:r>
        <w:rPr>
          <w:b/>
          <w:color w:val="1A1A1A"/>
          <w:spacing w:val="-11"/>
          <w:sz w:val="28"/>
          <w:szCs w:val="28"/>
        </w:rPr>
        <w:lastRenderedPageBreak/>
        <w:t>MECANISMOS FISIOPATOLÓGICOS DA REMISSÃO DO DIABETES MELLITUS TIPO 2 INDUZIDA POR AGONISTAS DUPLOS DE INCRETINAS: IMPLICAÇÕES METABÓLICAS E SUSTENTAÇÃO CLÍNICA</w:t>
      </w:r>
    </w:p>
    <w:p w:rsidR="000B5910" w:rsidRPr="00614276" w:rsidRDefault="00057F5C">
      <w:pPr>
        <w:spacing w:after="40" w:line="252" w:lineRule="auto"/>
        <w:jc w:val="right"/>
        <w:rPr>
          <w:szCs w:val="21"/>
        </w:rPr>
      </w:pPr>
      <w:r w:rsidRPr="00614276">
        <w:rPr>
          <w:color w:val="1A1A1A"/>
          <w:szCs w:val="21"/>
        </w:rPr>
        <w:t>Inacio Kehl</w:t>
      </w:r>
      <w:r w:rsidRPr="00614276">
        <w:rPr>
          <w:color w:val="1A1A1A"/>
          <w:szCs w:val="21"/>
          <w:vertAlign w:val="superscript"/>
        </w:rPr>
        <w:t>1</w:t>
      </w:r>
      <w:r w:rsidRPr="00614276">
        <w:rPr>
          <w:szCs w:val="21"/>
        </w:rPr>
        <w:br/>
      </w:r>
      <w:r w:rsidRPr="00614276">
        <w:rPr>
          <w:color w:val="1A1A1A"/>
          <w:szCs w:val="21"/>
        </w:rPr>
        <w:t>Helena Toniazzi Uchôa</w:t>
      </w:r>
      <w:r w:rsidRPr="00614276">
        <w:rPr>
          <w:color w:val="1A1A1A"/>
          <w:szCs w:val="21"/>
          <w:vertAlign w:val="superscript"/>
        </w:rPr>
        <w:t>1</w:t>
      </w:r>
      <w:r w:rsidRPr="00614276">
        <w:rPr>
          <w:szCs w:val="21"/>
        </w:rPr>
        <w:br/>
      </w:r>
      <w:r w:rsidRPr="00614276">
        <w:rPr>
          <w:color w:val="1A1A1A"/>
          <w:szCs w:val="21"/>
        </w:rPr>
        <w:t>Helena Martins Feijó</w:t>
      </w:r>
      <w:r w:rsidRPr="00614276">
        <w:rPr>
          <w:color w:val="1A1A1A"/>
          <w:szCs w:val="21"/>
          <w:vertAlign w:val="superscript"/>
        </w:rPr>
        <w:t>1</w:t>
      </w:r>
      <w:r w:rsidRPr="00614276">
        <w:rPr>
          <w:szCs w:val="21"/>
        </w:rPr>
        <w:br/>
      </w:r>
      <w:r w:rsidRPr="00614276">
        <w:rPr>
          <w:color w:val="1A1A1A"/>
          <w:szCs w:val="21"/>
        </w:rPr>
        <w:t>Gabriel Pacheco Daubt</w:t>
      </w:r>
      <w:r w:rsidRPr="00614276">
        <w:rPr>
          <w:color w:val="1A1A1A"/>
          <w:szCs w:val="21"/>
          <w:vertAlign w:val="superscript"/>
        </w:rPr>
        <w:t>1</w:t>
      </w:r>
      <w:r w:rsidRPr="00614276">
        <w:rPr>
          <w:szCs w:val="21"/>
        </w:rPr>
        <w:br/>
      </w:r>
      <w:r w:rsidRPr="00614276">
        <w:rPr>
          <w:color w:val="1A1A1A"/>
          <w:szCs w:val="21"/>
        </w:rPr>
        <w:t>Murilo Gonçalves Braga</w:t>
      </w:r>
      <w:r w:rsidRPr="00614276">
        <w:rPr>
          <w:color w:val="1A1A1A"/>
          <w:szCs w:val="21"/>
          <w:vertAlign w:val="superscript"/>
        </w:rPr>
        <w:t>1</w:t>
      </w:r>
      <w:r w:rsidRPr="00614276">
        <w:rPr>
          <w:szCs w:val="21"/>
        </w:rPr>
        <w:br/>
      </w:r>
      <w:r w:rsidRPr="00614276">
        <w:rPr>
          <w:color w:val="1A1A1A"/>
          <w:szCs w:val="21"/>
        </w:rPr>
        <w:t>Antônia dos Santos Bobrowski</w:t>
      </w:r>
      <w:r w:rsidRPr="00614276">
        <w:rPr>
          <w:color w:val="1A1A1A"/>
          <w:szCs w:val="21"/>
          <w:vertAlign w:val="superscript"/>
        </w:rPr>
        <w:t>1</w:t>
      </w:r>
      <w:r w:rsidRPr="00614276">
        <w:rPr>
          <w:szCs w:val="21"/>
        </w:rPr>
        <w:br/>
      </w:r>
      <w:r w:rsidRPr="00614276">
        <w:rPr>
          <w:color w:val="1A1A1A"/>
          <w:szCs w:val="21"/>
        </w:rPr>
        <w:t>Valentina Dall’Agnol Roman</w:t>
      </w:r>
      <w:r w:rsidRPr="00614276">
        <w:rPr>
          <w:color w:val="1A1A1A"/>
          <w:szCs w:val="21"/>
          <w:vertAlign w:val="superscript"/>
        </w:rPr>
        <w:t>1</w:t>
      </w:r>
      <w:r w:rsidRPr="00614276">
        <w:rPr>
          <w:szCs w:val="21"/>
        </w:rPr>
        <w:br/>
      </w:r>
      <w:r w:rsidRPr="00614276">
        <w:rPr>
          <w:color w:val="1A1A1A"/>
          <w:szCs w:val="21"/>
        </w:rPr>
        <w:t>Marco Antônio Brugnarotto Galvan</w:t>
      </w:r>
      <w:r w:rsidRPr="00614276">
        <w:rPr>
          <w:color w:val="1A1A1A"/>
          <w:szCs w:val="21"/>
          <w:vertAlign w:val="superscript"/>
        </w:rPr>
        <w:t>1</w:t>
      </w:r>
      <w:r w:rsidRPr="00614276">
        <w:rPr>
          <w:szCs w:val="21"/>
        </w:rPr>
        <w:br/>
      </w:r>
      <w:r w:rsidRPr="00614276">
        <w:rPr>
          <w:color w:val="1A1A1A"/>
          <w:szCs w:val="21"/>
        </w:rPr>
        <w:t>Matheus Coelho Brasco</w:t>
      </w:r>
      <w:r w:rsidRPr="00614276">
        <w:rPr>
          <w:color w:val="1A1A1A"/>
          <w:szCs w:val="21"/>
          <w:vertAlign w:val="superscript"/>
        </w:rPr>
        <w:t>1</w:t>
      </w:r>
      <w:r w:rsidRPr="00614276">
        <w:rPr>
          <w:szCs w:val="21"/>
        </w:rPr>
        <w:br/>
      </w:r>
      <w:r w:rsidRPr="00614276">
        <w:rPr>
          <w:color w:val="1A1A1A"/>
          <w:szCs w:val="21"/>
        </w:rPr>
        <w:t>Márcio Cruvinel Barbosa de Macedo</w:t>
      </w:r>
      <w:r w:rsidRPr="00614276">
        <w:rPr>
          <w:color w:val="1A1A1A"/>
          <w:szCs w:val="21"/>
          <w:vertAlign w:val="superscript"/>
        </w:rPr>
        <w:t>1</w:t>
      </w:r>
      <w:r w:rsidRPr="00614276">
        <w:rPr>
          <w:szCs w:val="21"/>
        </w:rPr>
        <w:br/>
      </w:r>
      <w:r w:rsidRPr="00614276">
        <w:rPr>
          <w:color w:val="1A1A1A"/>
          <w:szCs w:val="21"/>
        </w:rPr>
        <w:t>Leonardo Silveira Bastolla</w:t>
      </w:r>
      <w:r w:rsidRPr="00614276">
        <w:rPr>
          <w:color w:val="1A1A1A"/>
          <w:szCs w:val="21"/>
          <w:vertAlign w:val="superscript"/>
        </w:rPr>
        <w:t>1</w:t>
      </w:r>
      <w:r w:rsidRPr="00614276">
        <w:rPr>
          <w:szCs w:val="21"/>
        </w:rPr>
        <w:br/>
      </w:r>
      <w:r w:rsidRPr="00614276">
        <w:rPr>
          <w:color w:val="1A1A1A"/>
          <w:szCs w:val="21"/>
        </w:rPr>
        <w:t>Nur Abdalla Juma Abdel Hamid</w:t>
      </w:r>
      <w:r w:rsidRPr="00614276">
        <w:rPr>
          <w:color w:val="1A1A1A"/>
          <w:szCs w:val="21"/>
          <w:vertAlign w:val="superscript"/>
        </w:rPr>
        <w:t>1</w:t>
      </w:r>
    </w:p>
    <w:p w:rsidR="000B5910" w:rsidRDefault="00057F5C">
      <w:pPr>
        <w:spacing w:before="200" w:after="100"/>
        <w:rPr>
          <w:sz w:val="22"/>
        </w:rPr>
      </w:pPr>
      <w:r>
        <w:rPr>
          <w:b/>
          <w:color w:val="1A1A1A"/>
          <w:sz w:val="22"/>
        </w:rPr>
        <w:t>RESUMO</w:t>
      </w:r>
    </w:p>
    <w:p w:rsidR="000B5910" w:rsidRPr="00F90C61" w:rsidRDefault="00057F5C" w:rsidP="00F90C61">
      <w:pPr>
        <w:spacing w:after="80" w:line="240" w:lineRule="auto"/>
        <w:jc w:val="both"/>
        <w:rPr>
          <w:sz w:val="22"/>
        </w:rPr>
      </w:pPr>
      <w:r w:rsidRPr="00F90C61">
        <w:rPr>
          <w:b/>
          <w:color w:val="1A1A1A"/>
          <w:sz w:val="22"/>
        </w:rPr>
        <w:t>Introdução:</w:t>
      </w:r>
      <w:r w:rsidRPr="00F90C61">
        <w:rPr>
          <w:color w:val="1A1A1A"/>
          <w:sz w:val="22"/>
        </w:rPr>
        <w:t xml:space="preserve"> O Diabetes Mellitus tipo 2 (DM2) diferencia-se da forma autoimune por permitir intervenções resolutivas. Terapias menos invasivas, como agonistas duplos GIP/GLP-1, demonstram impacto na remissão e controle metabólico, modulando vias pancreáticas, hepáticas e a sensibilidade à insulina, além da redução da adiposidade. </w:t>
      </w:r>
      <w:r w:rsidRPr="00F90C61">
        <w:rPr>
          <w:b/>
          <w:color w:val="1A1A1A"/>
          <w:sz w:val="22"/>
        </w:rPr>
        <w:t>Objetivo</w:t>
      </w:r>
      <w:r w:rsidRPr="00F90C61">
        <w:rPr>
          <w:color w:val="1A1A1A"/>
          <w:sz w:val="22"/>
        </w:rPr>
        <w:t xml:space="preserve">: Analisar os impactos e mecanismos fisiopatológicos do tratamento com agonistas duplos (GLP-1/GIP) no DM2 e sua contribuição para a reversão ou controle sustentado da doença. </w:t>
      </w:r>
      <w:r w:rsidRPr="00F90C61">
        <w:rPr>
          <w:b/>
          <w:color w:val="1A1A1A"/>
          <w:sz w:val="22"/>
        </w:rPr>
        <w:t>Métodos:</w:t>
      </w:r>
      <w:r w:rsidRPr="00F90C61">
        <w:rPr>
          <w:color w:val="1A1A1A"/>
          <w:sz w:val="22"/>
        </w:rPr>
        <w:t xml:space="preserve"> Estudo observacional retrospectivo baseado em análises pós-hoc de ensaios clínicos em adultos com DM2 tratados com agonista GIP/GLP-1. Avaliou-se função de célula β, sensibilidade à insulina, biomarcadores e desfechos hepáticos. </w:t>
      </w:r>
      <w:r w:rsidRPr="00F90C61">
        <w:rPr>
          <w:b/>
          <w:color w:val="1A1A1A"/>
          <w:sz w:val="22"/>
        </w:rPr>
        <w:t>​Resultados</w:t>
      </w:r>
      <w:r w:rsidRPr="00F90C61">
        <w:rPr>
          <w:color w:val="1A1A1A"/>
          <w:sz w:val="22"/>
        </w:rPr>
        <w:t xml:space="preserve">: Após 26 semanas, o agonismo duplo gerou melhora consistente da função β-pancreática e sensibilidade à insulina. Houve aumento do índice HOMA2-B (insulina e C-peptídeo), com redução da pró-insulina intacta e das razões pró-insulina/insulina e pró-insulina/C-peptídeo, indicando menor estresse pancreático. O glucagon ajustado para glicose reduziu entre 28% e 36% (p&lt;0,03), enquanto o placebo subiu 32%. O índice HOMA2-IR reduziu significativamente com 10 mg (p=0,004) vs. placebo e GLP-1 isolado, com redução da insulina em jejum nas doses de 10 mg e 15 mg (p=0,004 vs. placebo e p=0,014 vs. GLP-1 isolado). </w:t>
      </w:r>
      <w:proofErr w:type="gramStart"/>
      <w:r w:rsidRPr="00F90C61">
        <w:rPr>
          <w:color w:val="1A1A1A"/>
          <w:sz w:val="22"/>
        </w:rPr>
        <w:t>A</w:t>
      </w:r>
      <w:proofErr w:type="gramEnd"/>
      <w:r w:rsidRPr="00F90C61">
        <w:rPr>
          <w:color w:val="1A1A1A"/>
          <w:sz w:val="22"/>
        </w:rPr>
        <w:t xml:space="preserve"> adiponectina elevou-se entre 19% e 26% (p≤0,015). Níveis de IGFBP-1 subiram significativamente (p≤0,047) e IGFBP-2 aumentaram de forma dose-dependente entre 38% e 97% (p&lt;0,001). Os achados mostram melhora da função β, redução da hiperinsulinemia compensatória e restauração de vias de sensibilidade à insulina. Em pacientes com esteato-hepatite associada, houve resolução hepática no subgrupo de respondedores, com maior redução de HbA1c e peso, sugerindo menor lipotoxicidade. Em conjunto, houve recuperação da função pancreática, resistência insulínica e metabolismo hepático. </w:t>
      </w:r>
      <w:r w:rsidRPr="00F90C61">
        <w:rPr>
          <w:b/>
          <w:color w:val="1A1A1A"/>
          <w:sz w:val="22"/>
        </w:rPr>
        <w:t xml:space="preserve">​Conclusão: </w:t>
      </w:r>
      <w:r w:rsidRPr="00F90C61">
        <w:rPr>
          <w:color w:val="1A1A1A"/>
          <w:sz w:val="22"/>
        </w:rPr>
        <w:t>O tratamento com agonistas duplos (GIP/GLP-1) promove restauração metabólica abrangente no DM2, com benefícios que superam a perda ponderal. A terapia reduz o estresse pancreático, recupera a função das células β e melhora a sensibilidade insulínica e atividade hepática. Tais achados sugerem que o uso dessas incretinas colabora com vias fisiopatológicas que favorecem a remissão do DM2 a longo prazo.</w:t>
      </w:r>
    </w:p>
    <w:p w:rsidR="000B5910" w:rsidRDefault="000B5910">
      <w:pPr>
        <w:pBdr>
          <w:bottom w:val="single" w:sz="4" w:space="2" w:color="808080"/>
        </w:pBdr>
        <w:spacing w:before="120" w:after="40"/>
      </w:pPr>
    </w:p>
    <w:p w:rsidR="00721789" w:rsidRPr="00721789" w:rsidRDefault="00057F5C" w:rsidP="00721789">
      <w:pPr>
        <w:spacing w:after="0" w:line="252" w:lineRule="auto"/>
        <w:rPr>
          <w:sz w:val="16"/>
          <w:szCs w:val="16"/>
        </w:rPr>
      </w:pPr>
      <w:r w:rsidRPr="00721789">
        <w:rPr>
          <w:color w:val="595959"/>
          <w:sz w:val="16"/>
          <w:szCs w:val="16"/>
          <w:vertAlign w:val="superscript"/>
        </w:rPr>
        <w:t>1</w:t>
      </w:r>
      <w:r w:rsidRPr="00721789">
        <w:rPr>
          <w:color w:val="595959"/>
          <w:sz w:val="16"/>
          <w:szCs w:val="16"/>
        </w:rPr>
        <w:t xml:space="preserve"> Pontifícia Universidade Católica do Rio Grande do Sul</w:t>
      </w:r>
    </w:p>
    <w:p w:rsidR="000B5910" w:rsidRPr="00721789" w:rsidRDefault="000B5910" w:rsidP="00721789">
      <w:pPr>
        <w:tabs>
          <w:tab w:val="left" w:pos="2925"/>
        </w:tabs>
        <w:sectPr w:rsidR="000B5910" w:rsidRPr="00721789">
          <w:headerReference w:type="default" r:id="rId47"/>
          <w:footerReference w:type="default" r:id="rId48"/>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DIABETES MELLITUS PÓS-TRANSPLANTE RENAL E EVOLUÇÃO DE PARÂMETROS CLÍNICO-METABÓLICOS: ESTUDO RETROSPECTIVO</w:t>
      </w:r>
    </w:p>
    <w:p w:rsidR="000B5910" w:rsidRPr="00721789" w:rsidRDefault="00057F5C">
      <w:pPr>
        <w:spacing w:after="40" w:line="252" w:lineRule="auto"/>
        <w:jc w:val="right"/>
        <w:rPr>
          <w:szCs w:val="21"/>
        </w:rPr>
      </w:pPr>
      <w:r w:rsidRPr="00721789">
        <w:rPr>
          <w:color w:val="1A1A1A"/>
          <w:szCs w:val="21"/>
        </w:rPr>
        <w:t>Rafaella Câmara Rocha Menezes</w:t>
      </w:r>
      <w:r w:rsidRPr="00721789">
        <w:rPr>
          <w:color w:val="1A1A1A"/>
          <w:szCs w:val="21"/>
          <w:vertAlign w:val="superscript"/>
        </w:rPr>
        <w:t>1</w:t>
      </w:r>
      <w:r w:rsidRPr="00721789">
        <w:rPr>
          <w:szCs w:val="21"/>
        </w:rPr>
        <w:br/>
      </w:r>
      <w:r w:rsidRPr="00721789">
        <w:rPr>
          <w:color w:val="1A1A1A"/>
          <w:szCs w:val="21"/>
        </w:rPr>
        <w:t>Camila Corrêa</w:t>
      </w:r>
      <w:r w:rsidRPr="00721789">
        <w:rPr>
          <w:color w:val="1A1A1A"/>
          <w:szCs w:val="21"/>
          <w:vertAlign w:val="superscript"/>
        </w:rPr>
        <w:t>2</w:t>
      </w:r>
      <w:r w:rsidRPr="00721789">
        <w:rPr>
          <w:szCs w:val="21"/>
        </w:rPr>
        <w:br/>
      </w:r>
      <w:r w:rsidRPr="00721789">
        <w:rPr>
          <w:color w:val="1A1A1A"/>
          <w:szCs w:val="21"/>
        </w:rPr>
        <w:t>Helena Angélica Blume</w:t>
      </w:r>
      <w:r w:rsidRPr="00721789">
        <w:rPr>
          <w:color w:val="1A1A1A"/>
          <w:szCs w:val="21"/>
          <w:vertAlign w:val="superscript"/>
        </w:rPr>
        <w:t>2</w:t>
      </w:r>
      <w:r w:rsidRPr="00721789">
        <w:rPr>
          <w:szCs w:val="21"/>
        </w:rPr>
        <w:br/>
      </w:r>
      <w:r w:rsidRPr="00721789">
        <w:rPr>
          <w:color w:val="1A1A1A"/>
          <w:szCs w:val="21"/>
        </w:rPr>
        <w:t>Laura Ruzzante Meira</w:t>
      </w:r>
      <w:r w:rsidRPr="00721789">
        <w:rPr>
          <w:color w:val="1A1A1A"/>
          <w:szCs w:val="21"/>
          <w:vertAlign w:val="superscript"/>
        </w:rPr>
        <w:t>2</w:t>
      </w:r>
      <w:r w:rsidRPr="00721789">
        <w:rPr>
          <w:szCs w:val="21"/>
        </w:rPr>
        <w:br/>
      </w:r>
      <w:r w:rsidRPr="00721789">
        <w:rPr>
          <w:color w:val="1A1A1A"/>
          <w:szCs w:val="21"/>
        </w:rPr>
        <w:t>Andrea Carla Bauer</w:t>
      </w:r>
      <w:r w:rsidRPr="00721789">
        <w:rPr>
          <w:color w:val="1A1A1A"/>
          <w:szCs w:val="21"/>
          <w:vertAlign w:val="superscript"/>
        </w:rPr>
        <w:t>3</w:t>
      </w:r>
      <w:r w:rsidRPr="00721789">
        <w:rPr>
          <w:szCs w:val="21"/>
        </w:rPr>
        <w:br/>
      </w:r>
      <w:r w:rsidRPr="00721789">
        <w:rPr>
          <w:color w:val="1A1A1A"/>
          <w:szCs w:val="21"/>
        </w:rPr>
        <w:t>Cristiane Bauermann Leitão</w:t>
      </w:r>
      <w:r w:rsidRPr="00721789">
        <w:rPr>
          <w:color w:val="1A1A1A"/>
          <w:szCs w:val="21"/>
          <w:vertAlign w:val="superscript"/>
        </w:rPr>
        <w:t>2</w:t>
      </w:r>
      <w:r w:rsidRPr="00721789">
        <w:rPr>
          <w:szCs w:val="21"/>
        </w:rPr>
        <w:br/>
      </w:r>
      <w:r w:rsidRPr="00721789">
        <w:rPr>
          <w:color w:val="1A1A1A"/>
          <w:szCs w:val="21"/>
        </w:rPr>
        <w:t>Gabriela Correa Souza</w:t>
      </w:r>
      <w:r w:rsidRPr="00721789">
        <w:rPr>
          <w:color w:val="1A1A1A"/>
          <w:szCs w:val="21"/>
          <w:vertAlign w:val="superscript"/>
        </w:rPr>
        <w:t>2</w:t>
      </w:r>
    </w:p>
    <w:p w:rsidR="000B5910" w:rsidRDefault="00057F5C">
      <w:pPr>
        <w:spacing w:before="200" w:after="100"/>
        <w:rPr>
          <w:sz w:val="22"/>
        </w:rPr>
      </w:pPr>
      <w:r>
        <w:rPr>
          <w:b/>
          <w:color w:val="1A1A1A"/>
          <w:sz w:val="22"/>
        </w:rPr>
        <w:t>RESUMO</w:t>
      </w:r>
    </w:p>
    <w:p w:rsidR="000B5910" w:rsidRPr="00721789" w:rsidRDefault="00057F5C">
      <w:pPr>
        <w:spacing w:after="80" w:line="264" w:lineRule="auto"/>
        <w:jc w:val="both"/>
        <w:rPr>
          <w:sz w:val="22"/>
        </w:rPr>
      </w:pPr>
      <w:r w:rsidRPr="00721789">
        <w:rPr>
          <w:b/>
          <w:color w:val="1A1A1A"/>
          <w:sz w:val="22"/>
        </w:rPr>
        <w:t xml:space="preserve">Introdução: </w:t>
      </w:r>
      <w:r w:rsidRPr="00721789">
        <w:rPr>
          <w:color w:val="1A1A1A"/>
          <w:sz w:val="22"/>
        </w:rPr>
        <w:t>Diabetes mellitus pós-transplante (DMPT) apresenta incidência entre 9 e 40% após o transplante renal, e é associado a maior risco cardiovascular, perda de enxerto e mortalidade. A relação entre fatores metabólicos pré e pós transplante com o aparecimento de DMPT ainda não foi plenamente esclarecida.</w:t>
      </w:r>
      <w:r w:rsidRPr="00721789">
        <w:rPr>
          <w:b/>
          <w:color w:val="1A1A1A"/>
          <w:sz w:val="22"/>
        </w:rPr>
        <w:t xml:space="preserve"> Objetivo: </w:t>
      </w:r>
      <w:r w:rsidRPr="00721789">
        <w:rPr>
          <w:color w:val="1A1A1A"/>
          <w:sz w:val="22"/>
        </w:rPr>
        <w:t xml:space="preserve">Identificar fatores clínicos e metabólicos pré-transplante renal associados ao surgimento de DMPT e avaliar </w:t>
      </w:r>
      <w:proofErr w:type="gramStart"/>
      <w:r w:rsidRPr="00721789">
        <w:rPr>
          <w:color w:val="1A1A1A"/>
          <w:sz w:val="22"/>
        </w:rPr>
        <w:t>a</w:t>
      </w:r>
      <w:proofErr w:type="gramEnd"/>
      <w:r w:rsidRPr="00721789">
        <w:rPr>
          <w:color w:val="1A1A1A"/>
          <w:sz w:val="22"/>
        </w:rPr>
        <w:t xml:space="preserve"> evolução desses fatores no primeiro ano pós-transplante.</w:t>
      </w:r>
      <w:r w:rsidRPr="00721789">
        <w:rPr>
          <w:b/>
          <w:color w:val="1A1A1A"/>
          <w:sz w:val="22"/>
        </w:rPr>
        <w:t xml:space="preserve"> Métodos:</w:t>
      </w:r>
      <w:r w:rsidRPr="00721789">
        <w:rPr>
          <w:color w:val="1A1A1A"/>
          <w:sz w:val="22"/>
        </w:rPr>
        <w:t xml:space="preserve"> Estudo retrospectivo com receptores de transplante renal entre 2016 e 2023. Foram avaliadas características clínicas e metabólicas: idade, índice de massa corporal (IMC) e parâmetros laboratoriais (glicemia, hemoglobina glicada, creatinina sérica e perfil lipídico). A relação com DMPT foi avaliada através de regressão logística univariada e multivariada. </w:t>
      </w:r>
      <w:proofErr w:type="gramStart"/>
      <w:r w:rsidRPr="00721789">
        <w:rPr>
          <w:color w:val="1A1A1A"/>
          <w:sz w:val="22"/>
        </w:rPr>
        <w:t>A</w:t>
      </w:r>
      <w:proofErr w:type="gramEnd"/>
      <w:r w:rsidRPr="00721789">
        <w:rPr>
          <w:color w:val="1A1A1A"/>
          <w:sz w:val="22"/>
        </w:rPr>
        <w:t xml:space="preserve"> evolução dos parâmetros metabólicos durante o primeiro ano foi analisada por modelos de equações de estimativa generalizadas (GEE). </w:t>
      </w:r>
      <w:r w:rsidRPr="00721789">
        <w:rPr>
          <w:b/>
          <w:color w:val="1A1A1A"/>
          <w:sz w:val="22"/>
        </w:rPr>
        <w:t>Resultados:</w:t>
      </w:r>
      <w:r w:rsidRPr="00721789">
        <w:rPr>
          <w:color w:val="1A1A1A"/>
          <w:sz w:val="22"/>
        </w:rPr>
        <w:t xml:space="preserve"> Foram incluídos 123 pacientes, 61 com diagnóstico de DMPT. Idade e IMC foram 50 ± 13 anos e 26,1 ± 4 kg/m². No pré-transplante, o grupo DMPT apresentou maior IMC (27 ± 3,7 vs. 25,2 ± 4,1 kg/m²) e níveis menores de colesterol total, LDL-C e HDL-C (p&lt;0,05). A presença de DMPT foi associada no modelo de regressão logística multivariada à idade (OR 1,39[1,03–1,90]) e ao IMC (OR 1,73[1,08–2,86]). Nos demais modelos, idade e IMC foram mantidos, enquanto os parâmetros metabólicos foram considerados individualmente. IMC permaneceu ligado ao DMPT nos modelos, exceto naquele incluindo HDL-C, já idade teve significância apenas nos modelos inicial e ajustado para glicemia. Entre os biomarcadores, o HDL-C apresentou associação inversa independente com DMPT (OR 0,64[0,45–0,87]). Colesterol total, LDL-C e glicemia perderam </w:t>
      </w:r>
      <w:proofErr w:type="gramStart"/>
      <w:r w:rsidRPr="00721789">
        <w:rPr>
          <w:color w:val="1A1A1A"/>
          <w:sz w:val="22"/>
        </w:rPr>
        <w:t>a</w:t>
      </w:r>
      <w:proofErr w:type="gramEnd"/>
      <w:r w:rsidRPr="00721789">
        <w:rPr>
          <w:color w:val="1A1A1A"/>
          <w:sz w:val="22"/>
        </w:rPr>
        <w:t xml:space="preserve"> associação após ajuste. Na análise de seguimento, além do perfil glicêmico, o HDL-C apresentou comportamento distinto entre os grupos ao longo do tempo (p=0,018). O grupo DMPT apresentou níveis inferiores e estáveis (47,7 mg/dL inicial; 47,2 mg/dL final) e o grupo não DMPT manteve valores superiores (52,4 mg/dL inicial; 52,0 mg/dL final).</w:t>
      </w:r>
      <w:r w:rsidRPr="00721789">
        <w:rPr>
          <w:b/>
          <w:color w:val="1A1A1A"/>
          <w:sz w:val="22"/>
        </w:rPr>
        <w:t xml:space="preserve"> Conclusão:</w:t>
      </w:r>
      <w:r w:rsidRPr="00721789">
        <w:rPr>
          <w:color w:val="1A1A1A"/>
          <w:sz w:val="22"/>
        </w:rPr>
        <w:t xml:space="preserve"> Maior IMC e menores níveis de HDL-C pré-transplante associaram-se ao desenvolvimento de DMPT, reforçando </w:t>
      </w:r>
      <w:proofErr w:type="gramStart"/>
      <w:r w:rsidRPr="00721789">
        <w:rPr>
          <w:color w:val="1A1A1A"/>
          <w:sz w:val="22"/>
        </w:rPr>
        <w:t>a</w:t>
      </w:r>
      <w:proofErr w:type="gramEnd"/>
      <w:r w:rsidRPr="00721789">
        <w:rPr>
          <w:color w:val="1A1A1A"/>
          <w:sz w:val="22"/>
        </w:rPr>
        <w:t xml:space="preserve"> importância da avaliação metabólica pré-transplante para identificação de pacientes com maior risco. Além disso, o comportamento do HDL-c ao longo do tempo sugere influência de fatores metabólicos na presença de DMPT.</w:t>
      </w:r>
    </w:p>
    <w:p w:rsidR="000B5910" w:rsidRDefault="000B5910">
      <w:pPr>
        <w:pBdr>
          <w:bottom w:val="single" w:sz="4" w:space="2" w:color="808080"/>
        </w:pBdr>
        <w:spacing w:before="120" w:after="40"/>
      </w:pPr>
    </w:p>
    <w:p w:rsidR="000B5910" w:rsidRPr="00721789" w:rsidRDefault="00057F5C">
      <w:pPr>
        <w:spacing w:after="0" w:line="252" w:lineRule="auto"/>
        <w:rPr>
          <w:sz w:val="16"/>
          <w:szCs w:val="16"/>
        </w:rPr>
      </w:pPr>
      <w:r w:rsidRPr="00721789">
        <w:rPr>
          <w:color w:val="595959"/>
          <w:sz w:val="16"/>
          <w:szCs w:val="16"/>
          <w:vertAlign w:val="superscript"/>
        </w:rPr>
        <w:t>1</w:t>
      </w:r>
      <w:r w:rsidRPr="00721789">
        <w:rPr>
          <w:color w:val="595959"/>
          <w:sz w:val="16"/>
          <w:szCs w:val="16"/>
        </w:rPr>
        <w:t xml:space="preserve"> Universidade Federal de Ciências da Saúde de Porto Alegre</w:t>
      </w:r>
    </w:p>
    <w:p w:rsidR="000B5910" w:rsidRPr="00721789" w:rsidRDefault="00057F5C">
      <w:pPr>
        <w:spacing w:after="0" w:line="252" w:lineRule="auto"/>
        <w:rPr>
          <w:sz w:val="16"/>
          <w:szCs w:val="16"/>
        </w:rPr>
      </w:pPr>
      <w:r w:rsidRPr="00721789">
        <w:rPr>
          <w:color w:val="595959"/>
          <w:sz w:val="16"/>
          <w:szCs w:val="16"/>
          <w:vertAlign w:val="superscript"/>
        </w:rPr>
        <w:t>2</w:t>
      </w:r>
      <w:r w:rsidRPr="00721789">
        <w:rPr>
          <w:color w:val="595959"/>
          <w:sz w:val="16"/>
          <w:szCs w:val="16"/>
        </w:rPr>
        <w:t xml:space="preserve"> Universidade Federal do Rio Grande do Sul</w:t>
      </w:r>
    </w:p>
    <w:p w:rsidR="000B5910" w:rsidRPr="00721789" w:rsidRDefault="00057F5C">
      <w:pPr>
        <w:spacing w:after="0" w:line="252" w:lineRule="auto"/>
        <w:rPr>
          <w:sz w:val="16"/>
          <w:szCs w:val="16"/>
        </w:rPr>
      </w:pPr>
      <w:r w:rsidRPr="00721789">
        <w:rPr>
          <w:color w:val="595959"/>
          <w:sz w:val="16"/>
          <w:szCs w:val="16"/>
          <w:vertAlign w:val="superscript"/>
        </w:rPr>
        <w:t>3</w:t>
      </w:r>
      <w:r w:rsidRPr="00721789">
        <w:rPr>
          <w:color w:val="595959"/>
          <w:sz w:val="16"/>
          <w:szCs w:val="16"/>
        </w:rPr>
        <w:t xml:space="preserve"> Hospital de Clínicas de Porto Alegre</w:t>
      </w:r>
    </w:p>
    <w:p w:rsidR="000B5910" w:rsidRDefault="000B5910">
      <w:pPr>
        <w:sectPr w:rsidR="000B5910">
          <w:headerReference w:type="default" r:id="rId49"/>
          <w:footerReference w:type="default" r:id="rId50"/>
          <w:pgSz w:w="12240" w:h="15840"/>
          <w:pgMar w:top="1417" w:right="1417" w:bottom="1417" w:left="1417" w:header="680" w:footer="680" w:gutter="0"/>
          <w:cols w:space="720"/>
        </w:sectPr>
      </w:pPr>
    </w:p>
    <w:p w:rsidR="000B5910" w:rsidRDefault="00057F5C">
      <w:pPr>
        <w:spacing w:before="80" w:line="252" w:lineRule="auto"/>
        <w:jc w:val="center"/>
        <w:rPr>
          <w:spacing w:val="-28"/>
          <w:sz w:val="28"/>
          <w:szCs w:val="28"/>
        </w:rPr>
      </w:pPr>
      <w:r>
        <w:rPr>
          <w:b/>
          <w:color w:val="1A1A1A"/>
          <w:spacing w:val="-23"/>
          <w:sz w:val="28"/>
          <w:szCs w:val="28"/>
        </w:rPr>
        <w:lastRenderedPageBreak/>
        <w:t>MACHINE LEARNING NA PREDIÇÃO DE HIPOGLICEMIA COM MONITORIZAÇÃO</w:t>
      </w:r>
      <w:r>
        <w:rPr>
          <w:b/>
          <w:color w:val="1A1A1A"/>
          <w:spacing w:val="-28"/>
          <w:sz w:val="28"/>
          <w:szCs w:val="28"/>
        </w:rPr>
        <w:t xml:space="preserve"> </w:t>
      </w:r>
      <w:r>
        <w:rPr>
          <w:b/>
          <w:color w:val="1A1A1A"/>
          <w:spacing w:val="-17"/>
          <w:sz w:val="28"/>
          <w:szCs w:val="28"/>
        </w:rPr>
        <w:t>CONTÍNUA DE GLICOSE: AVANÇOS E LIMITAÇÕES CLÍNICAS</w:t>
      </w:r>
    </w:p>
    <w:p w:rsidR="000B5910" w:rsidRPr="0064145B" w:rsidRDefault="00057F5C">
      <w:pPr>
        <w:spacing w:after="40" w:line="252" w:lineRule="auto"/>
        <w:jc w:val="right"/>
        <w:rPr>
          <w:szCs w:val="21"/>
        </w:rPr>
      </w:pPr>
      <w:r w:rsidRPr="0064145B">
        <w:rPr>
          <w:color w:val="1A1A1A"/>
          <w:szCs w:val="21"/>
        </w:rPr>
        <w:t>Valentina Dall’Agnol Roman</w:t>
      </w:r>
      <w:r w:rsidRPr="0064145B">
        <w:rPr>
          <w:color w:val="1A1A1A"/>
          <w:szCs w:val="21"/>
          <w:vertAlign w:val="superscript"/>
        </w:rPr>
        <w:t>1</w:t>
      </w:r>
      <w:r w:rsidRPr="0064145B">
        <w:rPr>
          <w:szCs w:val="21"/>
        </w:rPr>
        <w:br/>
      </w:r>
      <w:r w:rsidRPr="0064145B">
        <w:rPr>
          <w:color w:val="1A1A1A"/>
          <w:szCs w:val="21"/>
        </w:rPr>
        <w:t>Antônia dos Santos Bobrowski</w:t>
      </w:r>
      <w:r w:rsidRPr="0064145B">
        <w:rPr>
          <w:color w:val="1A1A1A"/>
          <w:szCs w:val="21"/>
          <w:vertAlign w:val="superscript"/>
        </w:rPr>
        <w:t>1</w:t>
      </w:r>
      <w:r w:rsidRPr="0064145B">
        <w:rPr>
          <w:szCs w:val="21"/>
        </w:rPr>
        <w:br/>
      </w:r>
      <w:r w:rsidRPr="0064145B">
        <w:rPr>
          <w:color w:val="1A1A1A"/>
          <w:szCs w:val="21"/>
        </w:rPr>
        <w:t>Julia Diedrich</w:t>
      </w:r>
      <w:r w:rsidRPr="0064145B">
        <w:rPr>
          <w:color w:val="1A1A1A"/>
          <w:szCs w:val="21"/>
          <w:vertAlign w:val="superscript"/>
        </w:rPr>
        <w:t>1</w:t>
      </w:r>
      <w:r w:rsidRPr="0064145B">
        <w:rPr>
          <w:szCs w:val="21"/>
        </w:rPr>
        <w:br/>
      </w:r>
      <w:r w:rsidRPr="0064145B">
        <w:rPr>
          <w:color w:val="1A1A1A"/>
          <w:szCs w:val="21"/>
        </w:rPr>
        <w:t>Mariana Virgílio de Carvalho Castello</w:t>
      </w:r>
      <w:r w:rsidRPr="0064145B">
        <w:rPr>
          <w:color w:val="1A1A1A"/>
          <w:szCs w:val="21"/>
          <w:vertAlign w:val="superscript"/>
        </w:rPr>
        <w:t>1</w:t>
      </w:r>
      <w:r w:rsidRPr="0064145B">
        <w:rPr>
          <w:szCs w:val="21"/>
        </w:rPr>
        <w:br/>
      </w:r>
      <w:r w:rsidRPr="0064145B">
        <w:rPr>
          <w:color w:val="1A1A1A"/>
          <w:szCs w:val="21"/>
        </w:rPr>
        <w:t>Helena Uchôa</w:t>
      </w:r>
      <w:r w:rsidRPr="0064145B">
        <w:rPr>
          <w:color w:val="1A1A1A"/>
          <w:szCs w:val="21"/>
          <w:vertAlign w:val="superscript"/>
        </w:rPr>
        <w:t>1</w:t>
      </w:r>
      <w:r w:rsidRPr="0064145B">
        <w:rPr>
          <w:szCs w:val="21"/>
        </w:rPr>
        <w:br/>
      </w:r>
      <w:r w:rsidRPr="0064145B">
        <w:rPr>
          <w:color w:val="1A1A1A"/>
          <w:szCs w:val="21"/>
        </w:rPr>
        <w:t>Matheus Coelho Brasco</w:t>
      </w:r>
      <w:r w:rsidRPr="0064145B">
        <w:rPr>
          <w:color w:val="1A1A1A"/>
          <w:szCs w:val="21"/>
          <w:vertAlign w:val="superscript"/>
        </w:rPr>
        <w:t>1</w:t>
      </w:r>
      <w:r w:rsidRPr="0064145B">
        <w:rPr>
          <w:szCs w:val="21"/>
        </w:rPr>
        <w:br/>
      </w:r>
      <w:r w:rsidRPr="0064145B">
        <w:rPr>
          <w:color w:val="1A1A1A"/>
          <w:szCs w:val="21"/>
        </w:rPr>
        <w:t>Marco Antônio Brugnarotto Galvan</w:t>
      </w:r>
      <w:r w:rsidRPr="0064145B">
        <w:rPr>
          <w:color w:val="1A1A1A"/>
          <w:szCs w:val="21"/>
          <w:vertAlign w:val="superscript"/>
        </w:rPr>
        <w:t>1</w:t>
      </w:r>
      <w:r w:rsidRPr="0064145B">
        <w:rPr>
          <w:szCs w:val="21"/>
        </w:rPr>
        <w:br/>
      </w:r>
      <w:r w:rsidRPr="0064145B">
        <w:rPr>
          <w:color w:val="1A1A1A"/>
          <w:szCs w:val="21"/>
        </w:rPr>
        <w:t>Leonardo Silveira Bastolla</w:t>
      </w:r>
      <w:r w:rsidRPr="0064145B">
        <w:rPr>
          <w:color w:val="1A1A1A"/>
          <w:szCs w:val="21"/>
          <w:vertAlign w:val="superscript"/>
        </w:rPr>
        <w:t>1</w:t>
      </w:r>
      <w:r w:rsidRPr="0064145B">
        <w:rPr>
          <w:szCs w:val="21"/>
        </w:rPr>
        <w:br/>
      </w:r>
      <w:r w:rsidRPr="0064145B">
        <w:rPr>
          <w:color w:val="1A1A1A"/>
          <w:szCs w:val="21"/>
        </w:rPr>
        <w:t>Inácio Kehl</w:t>
      </w:r>
      <w:r w:rsidRPr="0064145B">
        <w:rPr>
          <w:color w:val="1A1A1A"/>
          <w:szCs w:val="21"/>
          <w:vertAlign w:val="superscript"/>
        </w:rPr>
        <w:t>1</w:t>
      </w:r>
      <w:r w:rsidRPr="0064145B">
        <w:rPr>
          <w:szCs w:val="21"/>
        </w:rPr>
        <w:br/>
      </w:r>
      <w:r w:rsidRPr="0064145B">
        <w:rPr>
          <w:color w:val="1A1A1A"/>
          <w:szCs w:val="21"/>
        </w:rPr>
        <w:t>Murilo Gonçalves Braga</w:t>
      </w:r>
      <w:r w:rsidRPr="0064145B">
        <w:rPr>
          <w:color w:val="1A1A1A"/>
          <w:szCs w:val="21"/>
          <w:vertAlign w:val="superscript"/>
        </w:rPr>
        <w:t>1</w:t>
      </w:r>
      <w:r w:rsidRPr="0064145B">
        <w:rPr>
          <w:szCs w:val="21"/>
        </w:rPr>
        <w:br/>
      </w:r>
      <w:r w:rsidRPr="0064145B">
        <w:rPr>
          <w:color w:val="1A1A1A"/>
          <w:szCs w:val="21"/>
        </w:rPr>
        <w:t>Nur Abdalla Juma Abdel Hamid</w:t>
      </w:r>
      <w:r w:rsidRPr="0064145B">
        <w:rPr>
          <w:color w:val="1A1A1A"/>
          <w:szCs w:val="21"/>
          <w:vertAlign w:val="superscript"/>
        </w:rPr>
        <w:t>1</w:t>
      </w:r>
      <w:r w:rsidRPr="0064145B">
        <w:rPr>
          <w:szCs w:val="21"/>
        </w:rPr>
        <w:br/>
      </w:r>
      <w:r w:rsidRPr="0064145B">
        <w:rPr>
          <w:color w:val="1A1A1A"/>
          <w:szCs w:val="21"/>
        </w:rPr>
        <w:t>Márcio Cruvinel Barbosa de Macêdo</w:t>
      </w:r>
      <w:r w:rsidRPr="0064145B">
        <w:rPr>
          <w:color w:val="1A1A1A"/>
          <w:szCs w:val="21"/>
          <w:vertAlign w:val="superscript"/>
        </w:rPr>
        <w:t>1</w:t>
      </w:r>
    </w:p>
    <w:p w:rsidR="000B5910" w:rsidRDefault="00057F5C">
      <w:pPr>
        <w:spacing w:before="200" w:after="100"/>
        <w:rPr>
          <w:sz w:val="22"/>
        </w:rPr>
      </w:pPr>
      <w:r>
        <w:rPr>
          <w:b/>
          <w:color w:val="1A1A1A"/>
          <w:sz w:val="22"/>
        </w:rPr>
        <w:t>RESUMO</w:t>
      </w:r>
    </w:p>
    <w:p w:rsidR="000B5910" w:rsidRPr="00F90C61" w:rsidRDefault="00057F5C" w:rsidP="00F90C61">
      <w:pPr>
        <w:spacing w:after="80" w:line="240" w:lineRule="auto"/>
        <w:jc w:val="both"/>
        <w:rPr>
          <w:sz w:val="22"/>
          <w:szCs w:val="21"/>
        </w:rPr>
      </w:pPr>
      <w:r w:rsidRPr="00F90C61">
        <w:rPr>
          <w:b/>
          <w:color w:val="1A1A1A"/>
          <w:sz w:val="22"/>
          <w:szCs w:val="21"/>
        </w:rPr>
        <w:t xml:space="preserve">Introdução: </w:t>
      </w:r>
      <w:r w:rsidRPr="00F90C61">
        <w:rPr>
          <w:color w:val="1A1A1A"/>
          <w:sz w:val="22"/>
          <w:szCs w:val="21"/>
        </w:rPr>
        <w:t xml:space="preserve">A hipoglicemia é uma importante barreira ao controle glicêmico no Diabetes Mellitus tipo 1 (DM1), aumentando a morbidade, o medo de episódios e dificultando o tratamento. Como os alertas da monitorização contínua de glicose (CGM) ainda não são reativos e de curto prazo, apesar de identificar variações glicêmicas, técnicas de machine learning (ML) surgem como ferramentas capazes de usar dados do CGM para prever episódios de hipoglicemia, permitindo uma abordagem preventiva e personalizada. Porém, existem desafios metodológicos e estruturais para </w:t>
      </w:r>
      <w:proofErr w:type="gramStart"/>
      <w:r w:rsidRPr="00F90C61">
        <w:rPr>
          <w:color w:val="1A1A1A"/>
          <w:sz w:val="22"/>
          <w:szCs w:val="21"/>
        </w:rPr>
        <w:t>a</w:t>
      </w:r>
      <w:proofErr w:type="gramEnd"/>
      <w:r w:rsidRPr="00F90C61">
        <w:rPr>
          <w:color w:val="1A1A1A"/>
          <w:sz w:val="22"/>
          <w:szCs w:val="21"/>
        </w:rPr>
        <w:t xml:space="preserve"> aplicação clínica desses algoritmos. </w:t>
      </w:r>
      <w:r w:rsidRPr="00F90C61">
        <w:rPr>
          <w:b/>
          <w:color w:val="1A1A1A"/>
          <w:sz w:val="22"/>
          <w:szCs w:val="21"/>
        </w:rPr>
        <w:t>Métodos:</w:t>
      </w:r>
      <w:r w:rsidRPr="00F90C61">
        <w:rPr>
          <w:color w:val="1A1A1A"/>
          <w:sz w:val="22"/>
          <w:szCs w:val="21"/>
        </w:rPr>
        <w:t xml:space="preserve"> Revisão sistemática da literatura conduzida conforme as recomendações do PRISMA Statement. A busca foi realizada nas bases PubMed, Embase e LILACS, incluindo publicações dos últimos 10 anos. Utilizaram-se descritores e termos livres combinados por operadores booleanos AND e OR, contemplando os termos: “continuous glucose monitoring” OR “CGM”, “hypoglycemia”, “machine learning” OR “deep learning”, associados a “prediction”. A seleção dos estudos ocorreu em três etapas: triagem de títulos, análise de resumos e avaliação de textos completos, de acordo com critérios de elegibilidade previamente definidos.</w:t>
      </w:r>
      <w:r w:rsidRPr="00F90C61">
        <w:rPr>
          <w:b/>
          <w:color w:val="1A1A1A"/>
          <w:sz w:val="22"/>
          <w:szCs w:val="21"/>
        </w:rPr>
        <w:t xml:space="preserve"> Resultados</w:t>
      </w:r>
      <w:r w:rsidRPr="00F90C61">
        <w:rPr>
          <w:color w:val="1A1A1A"/>
          <w:sz w:val="22"/>
          <w:szCs w:val="21"/>
        </w:rPr>
        <w:t>: Estudos recentes demonstram que algoritmos de ML conseguem prever episódios de hipoglicemia com antecedência usando dados de CGM. O XGBoost estima o risco para a semana seguinte, enquanto SVM e Random Forest atuam como classificadores que ajudam a prever hipoglicemia noturna com base em dados do dia, sendo que o SVM mantém boa precisão independentemente do sensor utilizado. Os modelos Transformers e redes neurais recorrentes também conseguem prever variações glicêmicas pós-prandiais a partir de séries temporais. Apesar dos avanços e do desenvolvimento de sistemas que avaliam a confiabilidade das previsões, ainda existem limitações relacionadas à variabilidade entre pacientes, dispositivos e interpretação clínica dos dados.</w:t>
      </w:r>
      <w:r w:rsidRPr="00F90C61">
        <w:rPr>
          <w:b/>
          <w:color w:val="1A1A1A"/>
          <w:sz w:val="22"/>
          <w:szCs w:val="21"/>
        </w:rPr>
        <w:t xml:space="preserve"> Conclusão:</w:t>
      </w:r>
      <w:r w:rsidRPr="00F90C61">
        <w:rPr>
          <w:color w:val="1A1A1A"/>
          <w:sz w:val="22"/>
          <w:szCs w:val="21"/>
        </w:rPr>
        <w:t xml:space="preserve"> O ML marca a transição de alertas reativos de curto prazo para modelos preditivos de longo prazo. Dentre as técnicas de destaque, estão modelos que beneficiam desde o manejo clínico preventivo do DM1 até a redução do medo da hipoglicemia. Por ainda existirem desafios estruturais e metodológicos, é necessária a melhora da interpretabilidade dos modelos e a realização de estudos prospectivos e de ensaios clínicos randomizados, para que </w:t>
      </w:r>
      <w:proofErr w:type="gramStart"/>
      <w:r w:rsidRPr="00F90C61">
        <w:rPr>
          <w:color w:val="1A1A1A"/>
          <w:sz w:val="22"/>
          <w:szCs w:val="21"/>
        </w:rPr>
        <w:t>a</w:t>
      </w:r>
      <w:proofErr w:type="gramEnd"/>
      <w:r w:rsidRPr="00F90C61">
        <w:rPr>
          <w:color w:val="1A1A1A"/>
          <w:sz w:val="22"/>
          <w:szCs w:val="21"/>
        </w:rPr>
        <w:t xml:space="preserve"> eficácia dessas tecnologias seja validada e sejam úteis na prática clínica.</w:t>
      </w:r>
    </w:p>
    <w:p w:rsidR="000B5910" w:rsidRDefault="000B5910">
      <w:pPr>
        <w:pBdr>
          <w:bottom w:val="single" w:sz="4" w:space="2" w:color="808080"/>
        </w:pBdr>
        <w:spacing w:before="120" w:after="40"/>
      </w:pPr>
    </w:p>
    <w:p w:rsidR="0064145B" w:rsidRDefault="00057F5C" w:rsidP="0064145B">
      <w:pPr>
        <w:spacing w:after="0" w:line="252" w:lineRule="auto"/>
      </w:pPr>
      <w:r>
        <w:rPr>
          <w:color w:val="595959"/>
          <w:sz w:val="13"/>
          <w:vertAlign w:val="superscript"/>
        </w:rPr>
        <w:t>1</w:t>
      </w:r>
      <w:r>
        <w:rPr>
          <w:color w:val="595959"/>
          <w:sz w:val="16"/>
        </w:rPr>
        <w:t xml:space="preserve"> Pontifícia Universidade Católica do Rio Grande do Sul</w:t>
      </w:r>
    </w:p>
    <w:p w:rsidR="000B5910" w:rsidRPr="0064145B" w:rsidRDefault="0064145B" w:rsidP="0064145B">
      <w:pPr>
        <w:tabs>
          <w:tab w:val="left" w:pos="1185"/>
        </w:tabs>
        <w:sectPr w:rsidR="000B5910" w:rsidRPr="0064145B">
          <w:headerReference w:type="default" r:id="rId51"/>
          <w:footerReference w:type="default" r:id="rId52"/>
          <w:pgSz w:w="12240" w:h="15840"/>
          <w:pgMar w:top="1417" w:right="1417" w:bottom="1417" w:left="1417" w:header="680" w:footer="680" w:gutter="0"/>
          <w:cols w:space="720"/>
        </w:sectPr>
      </w:pPr>
      <w:r>
        <w:tab/>
      </w:r>
    </w:p>
    <w:p w:rsidR="000B5910" w:rsidRDefault="00057F5C">
      <w:pPr>
        <w:spacing w:before="80" w:after="240" w:line="252" w:lineRule="auto"/>
        <w:jc w:val="center"/>
      </w:pPr>
      <w:r>
        <w:rPr>
          <w:b/>
          <w:color w:val="1A1A1A"/>
          <w:sz w:val="28"/>
        </w:rPr>
        <w:lastRenderedPageBreak/>
        <w:t>CETOACIDOSE DIABÉTICA ASSOCIADA À IMUNOTERAPIA EM CARCINOMA RENAL: MANIFESTAÇÃO ENDÓCRINA GRAVE DURANTE TRATAMENTO ONCOLÓGICO</w:t>
      </w:r>
    </w:p>
    <w:p w:rsidR="000B5910" w:rsidRPr="0064145B" w:rsidRDefault="00057F5C">
      <w:pPr>
        <w:spacing w:after="40" w:line="252" w:lineRule="auto"/>
        <w:jc w:val="right"/>
        <w:rPr>
          <w:szCs w:val="21"/>
        </w:rPr>
      </w:pPr>
      <w:r w:rsidRPr="0064145B">
        <w:rPr>
          <w:color w:val="1A1A1A"/>
          <w:szCs w:val="21"/>
        </w:rPr>
        <w:t>Guilherme Matheus Langa</w:t>
      </w:r>
      <w:r w:rsidRPr="0064145B">
        <w:rPr>
          <w:color w:val="1A1A1A"/>
          <w:szCs w:val="21"/>
          <w:vertAlign w:val="superscript"/>
        </w:rPr>
        <w:t>1</w:t>
      </w:r>
      <w:r w:rsidRPr="0064145B">
        <w:rPr>
          <w:szCs w:val="21"/>
        </w:rPr>
        <w:br/>
      </w:r>
      <w:r w:rsidRPr="0064145B">
        <w:rPr>
          <w:color w:val="1A1A1A"/>
          <w:szCs w:val="21"/>
        </w:rPr>
        <w:t>Henrique Calabria Buligon</w:t>
      </w:r>
      <w:r w:rsidRPr="0064145B">
        <w:rPr>
          <w:color w:val="1A1A1A"/>
          <w:szCs w:val="21"/>
          <w:vertAlign w:val="superscript"/>
        </w:rPr>
        <w:t>1</w:t>
      </w:r>
      <w:r w:rsidRPr="0064145B">
        <w:rPr>
          <w:szCs w:val="21"/>
        </w:rPr>
        <w:br/>
      </w:r>
      <w:r w:rsidRPr="0064145B">
        <w:rPr>
          <w:color w:val="1A1A1A"/>
          <w:szCs w:val="21"/>
        </w:rPr>
        <w:t>Mônica Aparecida Poffo</w:t>
      </w:r>
      <w:r w:rsidRPr="0064145B">
        <w:rPr>
          <w:color w:val="1A1A1A"/>
          <w:szCs w:val="21"/>
          <w:vertAlign w:val="superscript"/>
        </w:rPr>
        <w:t>1</w:t>
      </w:r>
      <w:r w:rsidRPr="0064145B">
        <w:rPr>
          <w:szCs w:val="21"/>
        </w:rPr>
        <w:br/>
      </w:r>
      <w:r w:rsidRPr="0064145B">
        <w:rPr>
          <w:color w:val="1A1A1A"/>
          <w:szCs w:val="21"/>
        </w:rPr>
        <w:t>Fernanda Chiamulera Togni</w:t>
      </w:r>
      <w:r w:rsidRPr="0064145B">
        <w:rPr>
          <w:color w:val="1A1A1A"/>
          <w:szCs w:val="21"/>
          <w:vertAlign w:val="superscript"/>
        </w:rPr>
        <w:t>1</w:t>
      </w:r>
    </w:p>
    <w:p w:rsidR="000B5910" w:rsidRDefault="00057F5C">
      <w:pPr>
        <w:spacing w:before="240" w:after="100"/>
      </w:pPr>
      <w:r>
        <w:rPr>
          <w:b/>
          <w:color w:val="1A1A1A"/>
          <w:sz w:val="22"/>
        </w:rPr>
        <w:t>RESUMO</w:t>
      </w:r>
    </w:p>
    <w:p w:rsidR="000B5910" w:rsidRPr="0064145B" w:rsidRDefault="00057F5C">
      <w:pPr>
        <w:spacing w:after="80"/>
        <w:jc w:val="both"/>
        <w:rPr>
          <w:sz w:val="22"/>
        </w:rPr>
      </w:pPr>
      <w:r w:rsidRPr="0064145B">
        <w:rPr>
          <w:b/>
          <w:color w:val="1A1A1A"/>
          <w:sz w:val="22"/>
        </w:rPr>
        <w:t xml:space="preserve">Apresentação do Caso: </w:t>
      </w:r>
      <w:r w:rsidRPr="0064145B">
        <w:rPr>
          <w:color w:val="1A1A1A"/>
          <w:sz w:val="22"/>
        </w:rPr>
        <w:t>Paciente do sexo feminino de 78 anos com carcinoma renal de células claras diagnosticado em 2022 após investigação de anemia grave (hemoglobina 5,6 g/dl). Submetida à nefrectomia radical esquerda e, após progressão de doença, iniciou imunoterapia combinada com nivolumabe e ipilimumabe em 2024. Durante o tratamento intercorreu com um episódio de intensa náusea e vômitos, atendida em pronto atendimento, apresentou gasometria arterial com pH 6,84, pCO? 23 mmHg, bicarbonato 3,7 mmol/l, excesso de base ?30,6 e saturação de oxigênio 77,4% em ar ambiente, glicemia de 1463 mg/dl e sumário de urina com cetonas, quadro compatível com cetoacidose diabética, internada em leito de terapia intensiva.</w:t>
      </w:r>
      <w:r w:rsidR="0064145B">
        <w:rPr>
          <w:color w:val="1A1A1A"/>
          <w:sz w:val="22"/>
        </w:rPr>
        <w:t xml:space="preserve"> </w:t>
      </w:r>
      <w:r w:rsidRPr="0064145B">
        <w:rPr>
          <w:color w:val="1A1A1A"/>
          <w:sz w:val="22"/>
        </w:rPr>
        <w:t xml:space="preserve">Após resolução e estabilização, manteve necessidade de insulinoterapia com insulina basal e insulina de ação rápida. No seguimento ambulatorial, a paciente apresentou hiperglicemia persistente com hemoglobina glicada variando de 7,9% </w:t>
      </w:r>
      <w:proofErr w:type="gramStart"/>
      <w:r w:rsidRPr="0064145B">
        <w:rPr>
          <w:color w:val="1A1A1A"/>
          <w:sz w:val="22"/>
        </w:rPr>
        <w:t>a</w:t>
      </w:r>
      <w:proofErr w:type="gramEnd"/>
      <w:r w:rsidRPr="0064145B">
        <w:rPr>
          <w:color w:val="1A1A1A"/>
          <w:sz w:val="22"/>
        </w:rPr>
        <w:t xml:space="preserve"> 8,4%, atualmente em ajuste insulínico. Observou-se também alterações tireoidianas leves durante o seguimento, com hormônio estimulante da tireoide variando entre 5,93 e 4,16 mUI/L. A ressonância magnética de abdome de controle em junho de 2025 não evidenciou metástases. </w:t>
      </w:r>
      <w:r w:rsidRPr="0064145B">
        <w:rPr>
          <w:b/>
          <w:color w:val="1A1A1A"/>
          <w:sz w:val="22"/>
        </w:rPr>
        <w:t>Discussão:</w:t>
      </w:r>
      <w:r w:rsidRPr="0064145B">
        <w:rPr>
          <w:color w:val="1A1A1A"/>
          <w:sz w:val="22"/>
        </w:rPr>
        <w:t xml:space="preserve"> Eventos adversos endócrinos relacionados à imunoterapia decorrem de ativação imune contra tecidos hormonais. O diabetes mellitus insulinodependente induzido por imunoterapia é raro, porém pode se manifestar abruptamente como cetoacidose diabética grave, como neste caso. Após o evento agudo, a persistência de hiperglicemia e hemoglobina glicada elevada sugere destruição significativa de células beta pancreáticas, levando à necessidade contínua de insulinoterapia. Alterações tireoidianas discretas também são descritas, reforçando a necessidade de monitorização hormonal periódica em pacientes que usam inibidores de checkpoint imunológicos. </w:t>
      </w:r>
      <w:r w:rsidRPr="0064145B">
        <w:rPr>
          <w:b/>
          <w:color w:val="1A1A1A"/>
          <w:sz w:val="22"/>
        </w:rPr>
        <w:t xml:space="preserve">Considerações finais: </w:t>
      </w:r>
      <w:r w:rsidRPr="0064145B">
        <w:rPr>
          <w:color w:val="1A1A1A"/>
          <w:sz w:val="22"/>
        </w:rPr>
        <w:t xml:space="preserve">O diabetes mellitus induzido por imunoterapia pode apresentar-se de forma abrupta e potencialmente fatal. A presença de cetoacidose com acidose metabólica grave destaca </w:t>
      </w:r>
      <w:proofErr w:type="gramStart"/>
      <w:r w:rsidRPr="0064145B">
        <w:rPr>
          <w:color w:val="1A1A1A"/>
          <w:sz w:val="22"/>
        </w:rPr>
        <w:t>a</w:t>
      </w:r>
      <w:proofErr w:type="gramEnd"/>
      <w:r w:rsidRPr="0064145B">
        <w:rPr>
          <w:color w:val="1A1A1A"/>
          <w:sz w:val="22"/>
        </w:rPr>
        <w:t xml:space="preserve"> importância do reconhecimento precoce e da monitorização metabólica durante o tratamento; e muitos pacientes evoluem com necessidade contínua de insulinoterapia.</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Hospital Militar de Área de Porto Alegre</w:t>
      </w:r>
    </w:p>
    <w:p w:rsidR="000B5910" w:rsidRDefault="000B5910">
      <w:pPr>
        <w:sectPr w:rsidR="000B5910">
          <w:headerReference w:type="default" r:id="rId53"/>
          <w:footerReference w:type="default" r:id="rId54"/>
          <w:pgSz w:w="12240" w:h="15840"/>
          <w:pgMar w:top="1417" w:right="1417" w:bottom="1417" w:left="1417" w:header="680" w:footer="680" w:gutter="0"/>
          <w:cols w:space="720"/>
        </w:sectPr>
      </w:pPr>
    </w:p>
    <w:p w:rsidR="000B5910" w:rsidRDefault="00057F5C">
      <w:pPr>
        <w:spacing w:before="80" w:line="252" w:lineRule="auto"/>
        <w:jc w:val="center"/>
        <w:rPr>
          <w:sz w:val="28"/>
          <w:szCs w:val="28"/>
        </w:rPr>
      </w:pPr>
      <w:r>
        <w:rPr>
          <w:b/>
          <w:color w:val="1A1A1A"/>
          <w:sz w:val="28"/>
          <w:szCs w:val="28"/>
        </w:rPr>
        <w:lastRenderedPageBreak/>
        <w:t>INTERNAÇÕES POR PÉ DIABÉTICO (2008-2025)</w:t>
      </w:r>
    </w:p>
    <w:p w:rsidR="000B5910" w:rsidRPr="0064145B" w:rsidRDefault="00057F5C">
      <w:pPr>
        <w:spacing w:after="40" w:line="252" w:lineRule="auto"/>
        <w:jc w:val="right"/>
        <w:rPr>
          <w:szCs w:val="21"/>
        </w:rPr>
      </w:pPr>
      <w:r w:rsidRPr="0064145B">
        <w:rPr>
          <w:color w:val="1A1A1A"/>
          <w:szCs w:val="21"/>
        </w:rPr>
        <w:t>Stella Gai de Oliveira</w:t>
      </w:r>
      <w:r w:rsidRPr="0064145B">
        <w:rPr>
          <w:color w:val="1A1A1A"/>
          <w:szCs w:val="21"/>
          <w:vertAlign w:val="superscript"/>
        </w:rPr>
        <w:t>1</w:t>
      </w:r>
      <w:r w:rsidRPr="0064145B">
        <w:rPr>
          <w:szCs w:val="21"/>
        </w:rPr>
        <w:br/>
      </w:r>
      <w:r w:rsidRPr="0064145B">
        <w:rPr>
          <w:color w:val="1A1A1A"/>
          <w:szCs w:val="21"/>
        </w:rPr>
        <w:t>Valdoir dos Santos Silva Filho</w:t>
      </w:r>
      <w:r w:rsidRPr="0064145B">
        <w:rPr>
          <w:color w:val="1A1A1A"/>
          <w:szCs w:val="21"/>
          <w:vertAlign w:val="superscript"/>
        </w:rPr>
        <w:t>1</w:t>
      </w:r>
      <w:r w:rsidRPr="0064145B">
        <w:rPr>
          <w:szCs w:val="21"/>
        </w:rPr>
        <w:br/>
      </w:r>
      <w:r w:rsidRPr="0064145B">
        <w:rPr>
          <w:color w:val="1A1A1A"/>
          <w:szCs w:val="21"/>
        </w:rPr>
        <w:t>Alice Rodrigues Mazaro</w:t>
      </w:r>
      <w:r w:rsidRPr="0064145B">
        <w:rPr>
          <w:color w:val="1A1A1A"/>
          <w:szCs w:val="21"/>
          <w:vertAlign w:val="superscript"/>
        </w:rPr>
        <w:t>1</w:t>
      </w:r>
      <w:r w:rsidRPr="0064145B">
        <w:rPr>
          <w:szCs w:val="21"/>
        </w:rPr>
        <w:br/>
      </w:r>
      <w:r w:rsidRPr="0064145B">
        <w:rPr>
          <w:color w:val="1A1A1A"/>
          <w:szCs w:val="21"/>
        </w:rPr>
        <w:t>Andressa Caroline Dalla Porta Stock</w:t>
      </w:r>
      <w:r w:rsidRPr="0064145B">
        <w:rPr>
          <w:color w:val="1A1A1A"/>
          <w:szCs w:val="21"/>
          <w:vertAlign w:val="superscript"/>
        </w:rPr>
        <w:t>1</w:t>
      </w:r>
      <w:r w:rsidRPr="0064145B">
        <w:rPr>
          <w:szCs w:val="21"/>
        </w:rPr>
        <w:br/>
      </w:r>
      <w:r w:rsidRPr="0064145B">
        <w:rPr>
          <w:color w:val="1A1A1A"/>
          <w:szCs w:val="21"/>
        </w:rPr>
        <w:t>Dayla Barbieri Nunes</w:t>
      </w:r>
      <w:r w:rsidRPr="0064145B">
        <w:rPr>
          <w:color w:val="1A1A1A"/>
          <w:szCs w:val="21"/>
          <w:vertAlign w:val="superscript"/>
        </w:rPr>
        <w:t>1</w:t>
      </w:r>
      <w:r w:rsidRPr="0064145B">
        <w:rPr>
          <w:szCs w:val="21"/>
        </w:rPr>
        <w:br/>
      </w:r>
      <w:r w:rsidRPr="0064145B">
        <w:rPr>
          <w:color w:val="1A1A1A"/>
          <w:szCs w:val="21"/>
        </w:rPr>
        <w:t>Marcella Waihrich de Oliveira</w:t>
      </w:r>
      <w:r w:rsidRPr="0064145B">
        <w:rPr>
          <w:color w:val="1A1A1A"/>
          <w:szCs w:val="21"/>
          <w:vertAlign w:val="superscript"/>
        </w:rPr>
        <w:t>1</w:t>
      </w:r>
      <w:r w:rsidRPr="0064145B">
        <w:rPr>
          <w:szCs w:val="21"/>
        </w:rPr>
        <w:br/>
      </w:r>
      <w:r w:rsidRPr="0064145B">
        <w:rPr>
          <w:color w:val="1A1A1A"/>
          <w:szCs w:val="21"/>
        </w:rPr>
        <w:t>Emilly Barcelos da Silva</w:t>
      </w:r>
      <w:r w:rsidRPr="0064145B">
        <w:rPr>
          <w:color w:val="1A1A1A"/>
          <w:szCs w:val="21"/>
          <w:vertAlign w:val="superscript"/>
        </w:rPr>
        <w:t>1</w:t>
      </w:r>
      <w:r w:rsidRPr="0064145B">
        <w:rPr>
          <w:szCs w:val="21"/>
        </w:rPr>
        <w:br/>
      </w:r>
      <w:r w:rsidRPr="0064145B">
        <w:rPr>
          <w:color w:val="1A1A1A"/>
          <w:szCs w:val="21"/>
        </w:rPr>
        <w:t>Luiza De Gregori Dutra</w:t>
      </w:r>
      <w:r w:rsidRPr="0064145B">
        <w:rPr>
          <w:color w:val="1A1A1A"/>
          <w:szCs w:val="21"/>
          <w:vertAlign w:val="superscript"/>
        </w:rPr>
        <w:t>1</w:t>
      </w:r>
      <w:r w:rsidRPr="0064145B">
        <w:rPr>
          <w:szCs w:val="21"/>
        </w:rPr>
        <w:br/>
      </w:r>
      <w:r w:rsidRPr="0064145B">
        <w:rPr>
          <w:color w:val="1A1A1A"/>
          <w:szCs w:val="21"/>
        </w:rPr>
        <w:t>Gilyell Adolfo Souza</w:t>
      </w:r>
      <w:r w:rsidRPr="0064145B">
        <w:rPr>
          <w:color w:val="1A1A1A"/>
          <w:szCs w:val="21"/>
          <w:vertAlign w:val="superscript"/>
        </w:rPr>
        <w:t>1</w:t>
      </w:r>
      <w:r w:rsidRPr="0064145B">
        <w:rPr>
          <w:szCs w:val="21"/>
        </w:rPr>
        <w:br/>
      </w:r>
      <w:r w:rsidRPr="0064145B">
        <w:rPr>
          <w:color w:val="1A1A1A"/>
          <w:szCs w:val="21"/>
        </w:rPr>
        <w:t>Sabrina Somavilla</w:t>
      </w:r>
      <w:r w:rsidRPr="0064145B">
        <w:rPr>
          <w:color w:val="1A1A1A"/>
          <w:szCs w:val="21"/>
          <w:vertAlign w:val="superscript"/>
        </w:rPr>
        <w:t>1</w:t>
      </w:r>
      <w:r w:rsidRPr="0064145B">
        <w:rPr>
          <w:szCs w:val="21"/>
        </w:rPr>
        <w:br/>
      </w:r>
      <w:r w:rsidRPr="0064145B">
        <w:rPr>
          <w:color w:val="1A1A1A"/>
          <w:szCs w:val="21"/>
        </w:rPr>
        <w:t>João Lucas da Silva Veron</w:t>
      </w:r>
      <w:r w:rsidRPr="0064145B">
        <w:rPr>
          <w:color w:val="1A1A1A"/>
          <w:szCs w:val="21"/>
          <w:vertAlign w:val="superscript"/>
        </w:rPr>
        <w:t>1</w:t>
      </w:r>
      <w:r w:rsidRPr="0064145B">
        <w:rPr>
          <w:szCs w:val="21"/>
        </w:rPr>
        <w:br/>
      </w:r>
      <w:r w:rsidRPr="0064145B">
        <w:rPr>
          <w:color w:val="1A1A1A"/>
          <w:szCs w:val="21"/>
        </w:rPr>
        <w:t>Daphne Dorneles Carús</w:t>
      </w:r>
      <w:r w:rsidRPr="0064145B">
        <w:rPr>
          <w:color w:val="1A1A1A"/>
          <w:szCs w:val="21"/>
          <w:vertAlign w:val="superscript"/>
        </w:rPr>
        <w:t>1</w:t>
      </w:r>
      <w:r w:rsidRPr="0064145B">
        <w:rPr>
          <w:szCs w:val="21"/>
        </w:rPr>
        <w:br/>
      </w:r>
      <w:r w:rsidRPr="0064145B">
        <w:rPr>
          <w:color w:val="1A1A1A"/>
          <w:szCs w:val="21"/>
        </w:rPr>
        <w:t>Yan Gabriel Flôres Beck</w:t>
      </w:r>
      <w:r w:rsidRPr="0064145B">
        <w:rPr>
          <w:color w:val="1A1A1A"/>
          <w:szCs w:val="21"/>
          <w:vertAlign w:val="superscript"/>
        </w:rPr>
        <w:t>1</w:t>
      </w:r>
    </w:p>
    <w:p w:rsidR="000B5910" w:rsidRDefault="00057F5C">
      <w:pPr>
        <w:spacing w:before="200" w:after="100"/>
        <w:rPr>
          <w:sz w:val="22"/>
        </w:rPr>
      </w:pPr>
      <w:r>
        <w:rPr>
          <w:b/>
          <w:color w:val="1A1A1A"/>
          <w:sz w:val="22"/>
        </w:rPr>
        <w:t>RESUMO</w:t>
      </w:r>
    </w:p>
    <w:p w:rsidR="000B5910" w:rsidRPr="0064145B" w:rsidRDefault="00057F5C">
      <w:pPr>
        <w:spacing w:after="80" w:line="264" w:lineRule="auto"/>
        <w:jc w:val="both"/>
        <w:rPr>
          <w:sz w:val="22"/>
        </w:rPr>
      </w:pPr>
      <w:r w:rsidRPr="0064145B">
        <w:rPr>
          <w:b/>
          <w:color w:val="1A1A1A"/>
          <w:sz w:val="22"/>
        </w:rPr>
        <w:t xml:space="preserve">Introdução: </w:t>
      </w:r>
      <w:r w:rsidRPr="0064145B">
        <w:rPr>
          <w:color w:val="1A1A1A"/>
          <w:sz w:val="22"/>
        </w:rPr>
        <w:t xml:space="preserve">O pé diabético permanece como importante causa de hospitalização entre pacientes com diabetes e principal motivo de amputação de extremidades inferiores. </w:t>
      </w:r>
      <w:proofErr w:type="gramStart"/>
      <w:r w:rsidRPr="0064145B">
        <w:rPr>
          <w:color w:val="1A1A1A"/>
          <w:sz w:val="22"/>
        </w:rPr>
        <w:t>A</w:t>
      </w:r>
      <w:proofErr w:type="gramEnd"/>
      <w:r w:rsidRPr="0064145B">
        <w:rPr>
          <w:color w:val="1A1A1A"/>
          <w:sz w:val="22"/>
        </w:rPr>
        <w:t xml:space="preserve"> infecção do pé diabético se configura por lesões abaixo dos maléolos, associadas à neuropatia e à vasculopatia. O tratamento requer abordagem multidisciplinar e preventiva. </w:t>
      </w:r>
      <w:r w:rsidRPr="0064145B">
        <w:rPr>
          <w:b/>
          <w:color w:val="1A1A1A"/>
          <w:sz w:val="22"/>
        </w:rPr>
        <w:t xml:space="preserve">Objetivo: </w:t>
      </w:r>
      <w:r w:rsidRPr="0064145B">
        <w:rPr>
          <w:color w:val="1A1A1A"/>
          <w:sz w:val="22"/>
        </w:rPr>
        <w:t>A análise do perfil epidemiológico, a tendência temporal e a mortalidade das internações por pé diabético do Rio Grande do Sul (RS) e nas suas macrorregiões no período de 2008-2025.</w:t>
      </w:r>
      <w:r w:rsidRPr="0064145B">
        <w:rPr>
          <w:b/>
          <w:color w:val="1A1A1A"/>
          <w:sz w:val="22"/>
        </w:rPr>
        <w:t xml:space="preserve"> Métodos: </w:t>
      </w:r>
      <w:r w:rsidRPr="0064145B">
        <w:rPr>
          <w:color w:val="1A1A1A"/>
          <w:sz w:val="22"/>
        </w:rPr>
        <w:t xml:space="preserve">Trata-se de estudo ecológico, retrospectivo e quantitativo, realizado com dados do Sistema de Informações Hospitalares do SUS (SIH/SUS), disponíveis no DATASUS. Foram analisadas internações por tratamento de pé diabético complicado (procedimento 030306026-3) no RS entre 2008 e 2025. Foi analisado o número de internações, média de permanência, óbitos, mortalidade hospitalar e taxas de internação nas macrorregiões de saúde do estado, considerando também o crescimento populacional no período. </w:t>
      </w:r>
      <w:r w:rsidRPr="0064145B">
        <w:rPr>
          <w:b/>
          <w:color w:val="1A1A1A"/>
          <w:sz w:val="22"/>
        </w:rPr>
        <w:t xml:space="preserve">Resultados: </w:t>
      </w:r>
      <w:r w:rsidRPr="0064145B">
        <w:rPr>
          <w:color w:val="1A1A1A"/>
          <w:sz w:val="22"/>
        </w:rPr>
        <w:t xml:space="preserve">Entre 2008 e 2025, foram registradas 10.639 internações por pé diabético, com aumento absoluto de 280,21% (288 em 2008 vs. 1.102 em 2025). A regressão linear evidenciou crescimento progressivo e significativo (β=42,99; R²=0,8769; p&lt;0,0001), com incremento médio de 43 internações/ano. No período analisado, a população do RS apresentou crescimento discreto de 4,02%, enquanto a </w:t>
      </w:r>
      <w:proofErr w:type="gramStart"/>
      <w:r w:rsidRPr="0064145B">
        <w:rPr>
          <w:color w:val="1A1A1A"/>
          <w:sz w:val="22"/>
        </w:rPr>
        <w:t>taxa</w:t>
      </w:r>
      <w:proofErr w:type="gramEnd"/>
      <w:r w:rsidRPr="0064145B">
        <w:rPr>
          <w:color w:val="1A1A1A"/>
          <w:sz w:val="22"/>
        </w:rPr>
        <w:t xml:space="preserve"> de internação por pé diabético aumentou 265,5%, passando de 2,67 para 9,75 por 100.000 habitantes. Dessa forma, esse crescimento não é explicado apenas pela expansão populacional. A macrorregião Metropolitana concentrou 53,4% das internações entre 2008-2025. Há heterogeneidade estatisticamente significativa (p&lt;0,0001) na distribuição das internações entre as macrorregiões. Em 2008, as taxas de internação variaram entre 1,87 e 3,22 por 100.000 habitantes; em 2025, passaram a variar entre 6,23 e 12,63 por 100.000 habitantes, com maiores valores nas regiões Centro-Oeste (12,63) e Metropolitana (12,30). </w:t>
      </w:r>
      <w:r w:rsidRPr="0064145B">
        <w:rPr>
          <w:b/>
          <w:color w:val="1A1A1A"/>
          <w:sz w:val="22"/>
        </w:rPr>
        <w:t xml:space="preserve">Conclusão: </w:t>
      </w:r>
      <w:r w:rsidRPr="0064145B">
        <w:rPr>
          <w:color w:val="1A1A1A"/>
          <w:sz w:val="22"/>
        </w:rPr>
        <w:t>Portanto, foi demonstrado aumento expressivo das internações por pé diabético no RS entre 2008 e 2025, e com importante variação regional. Os achados sugerem a possível insuficiência das estratégias de manejo ambulatorial do diabetes mellitus e a necessidade de fortalecimento da atenção primária e secundária para redução de hospitalizações evitáveis.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Franciscana</w:t>
      </w:r>
    </w:p>
    <w:p w:rsidR="000B5910" w:rsidRDefault="000B5910">
      <w:pPr>
        <w:sectPr w:rsidR="000B5910">
          <w:headerReference w:type="default" r:id="rId55"/>
          <w:footerReference w:type="default" r:id="rId5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ARMADILHA DIAGNÓSTICA NO DIAGNÓSTICO DE DIABETES MELLITUS: RELATO DE CASO</w:t>
      </w:r>
    </w:p>
    <w:p w:rsidR="000B5910" w:rsidRPr="0064145B" w:rsidRDefault="00057F5C">
      <w:pPr>
        <w:spacing w:after="40" w:line="252" w:lineRule="auto"/>
        <w:jc w:val="right"/>
        <w:rPr>
          <w:szCs w:val="21"/>
        </w:rPr>
      </w:pPr>
      <w:r w:rsidRPr="0064145B">
        <w:rPr>
          <w:color w:val="1A1A1A"/>
          <w:szCs w:val="21"/>
        </w:rPr>
        <w:t>Maria Fernanda Müller Vaz</w:t>
      </w:r>
      <w:r w:rsidRPr="0064145B">
        <w:rPr>
          <w:color w:val="1A1A1A"/>
          <w:szCs w:val="21"/>
          <w:vertAlign w:val="superscript"/>
        </w:rPr>
        <w:t>1</w:t>
      </w:r>
      <w:r w:rsidRPr="0064145B">
        <w:rPr>
          <w:szCs w:val="21"/>
        </w:rPr>
        <w:br/>
      </w:r>
      <w:r w:rsidRPr="0064145B">
        <w:rPr>
          <w:color w:val="1A1A1A"/>
          <w:szCs w:val="21"/>
        </w:rPr>
        <w:t>Maria Augusta Karas Zella</w:t>
      </w:r>
      <w:r w:rsidRPr="0064145B">
        <w:rPr>
          <w:color w:val="1A1A1A"/>
          <w:szCs w:val="21"/>
          <w:vertAlign w:val="superscript"/>
        </w:rPr>
        <w:t>1</w:t>
      </w:r>
    </w:p>
    <w:p w:rsidR="000B5910" w:rsidRPr="0064145B" w:rsidRDefault="00057F5C">
      <w:pPr>
        <w:spacing w:before="240" w:after="100"/>
        <w:rPr>
          <w:sz w:val="22"/>
        </w:rPr>
      </w:pPr>
      <w:r w:rsidRPr="0064145B">
        <w:rPr>
          <w:b/>
          <w:color w:val="1A1A1A"/>
          <w:sz w:val="22"/>
        </w:rPr>
        <w:t>RESUMO</w:t>
      </w:r>
    </w:p>
    <w:p w:rsidR="000B5910" w:rsidRPr="0064145B" w:rsidRDefault="00057F5C">
      <w:pPr>
        <w:spacing w:after="80"/>
        <w:jc w:val="both"/>
        <w:rPr>
          <w:sz w:val="22"/>
        </w:rPr>
      </w:pPr>
      <w:r w:rsidRPr="0064145B">
        <w:rPr>
          <w:b/>
          <w:color w:val="1A1A1A"/>
          <w:sz w:val="22"/>
        </w:rPr>
        <w:t>Apresentação do Caso</w:t>
      </w:r>
      <w:r w:rsidRPr="0064145B">
        <w:rPr>
          <w:color w:val="1A1A1A"/>
          <w:sz w:val="22"/>
        </w:rPr>
        <w:t xml:space="preserve">: Paciente feminina, 30 anos, procura avaliação endocrinológica após detecção de hemoglobina glicada (HbA1c) elevada de 8,1%, medida por imunoturbidimetria. A paciente negava diagnóstico prévio de diabetes e apresentava-se assintomática, embora apreensiva com o resultado. Em sua história clínica recente, estava em acompanhamento médico por obesidade e relatou automedicação com altas doses de vitamina C oral (3 gramas/dia) por uma semana, devido </w:t>
      </w:r>
      <w:proofErr w:type="gramStart"/>
      <w:r w:rsidRPr="0064145B">
        <w:rPr>
          <w:color w:val="1A1A1A"/>
          <w:sz w:val="22"/>
        </w:rPr>
        <w:t>a</w:t>
      </w:r>
      <w:proofErr w:type="gramEnd"/>
      <w:r w:rsidRPr="0064145B">
        <w:rPr>
          <w:color w:val="1A1A1A"/>
          <w:sz w:val="22"/>
        </w:rPr>
        <w:t xml:space="preserve"> um quadro de odinofagia. Vinte dias após a suspensão da suplementação, o exame foi repetido, e evidenciou normalização para 5,3%. </w:t>
      </w:r>
      <w:r w:rsidRPr="0064145B">
        <w:rPr>
          <w:b/>
          <w:color w:val="1A1A1A"/>
          <w:sz w:val="22"/>
        </w:rPr>
        <w:t>Discussão:</w:t>
      </w:r>
      <w:r w:rsidRPr="0064145B">
        <w:rPr>
          <w:color w:val="1A1A1A"/>
          <w:sz w:val="22"/>
        </w:rPr>
        <w:t xml:space="preserve"> A HbA1c é um pilar no monitoramento e, desde 2010, no diagnóstico do diabetes mellitus, por refletir o controle glicêmico médio dos últimos 2 a 3 meses e apresentar menor variabilidade em comparação com outros testes glicêmicos (Radin, 2013). Entretanto, o caso destaca </w:t>
      </w:r>
      <w:proofErr w:type="gramStart"/>
      <w:r w:rsidRPr="0064145B">
        <w:rPr>
          <w:color w:val="1A1A1A"/>
          <w:sz w:val="22"/>
        </w:rPr>
        <w:t>a</w:t>
      </w:r>
      <w:proofErr w:type="gramEnd"/>
      <w:r w:rsidRPr="0064145B">
        <w:rPr>
          <w:color w:val="1A1A1A"/>
          <w:sz w:val="22"/>
        </w:rPr>
        <w:t xml:space="preserve"> importância de reconhecer as "armadilhas na medição da hemoglobina A1c" (Radin, 2013), isto é, os cenários clínicos e fatores que podem gerar resultados falsos, principalmente em situações onde o valor de A1c não reflete com precisão o controle glicêmico (Radin, 2013). </w:t>
      </w:r>
      <w:proofErr w:type="gramStart"/>
      <w:r w:rsidRPr="0064145B">
        <w:rPr>
          <w:color w:val="1A1A1A"/>
          <w:sz w:val="22"/>
        </w:rPr>
        <w:t>A</w:t>
      </w:r>
      <w:proofErr w:type="gramEnd"/>
      <w:r w:rsidRPr="0064145B">
        <w:rPr>
          <w:color w:val="1A1A1A"/>
          <w:sz w:val="22"/>
        </w:rPr>
        <w:t xml:space="preserve"> interferência da ingestão de vitamina C é mais frequentemente associada a resultados falsamente baixos devido à sua capacidade de reduzir o cromógeno ou reagente usado em alguns ensaios. Contudo, resultados falsamente elevados também podem ocorrer em metodologias específicas ou em concentrações muito altas. Nesses casos, é fundamental informar o laboratório sobre o uso da suplementação, considerar a descontinuação temporária da substância e, ainda, utilizar métodos analíticos menos suscetíveis </w:t>
      </w:r>
      <w:proofErr w:type="gramStart"/>
      <w:r w:rsidRPr="0064145B">
        <w:rPr>
          <w:color w:val="1A1A1A"/>
          <w:sz w:val="22"/>
        </w:rPr>
        <w:t>a</w:t>
      </w:r>
      <w:proofErr w:type="gramEnd"/>
      <w:r w:rsidRPr="0064145B">
        <w:rPr>
          <w:color w:val="1A1A1A"/>
          <w:sz w:val="22"/>
        </w:rPr>
        <w:t xml:space="preserve"> interferências. No presente caso, a rápida normalização da HbA1c para 5,3% apenas 20 dias após </w:t>
      </w:r>
      <w:proofErr w:type="gramStart"/>
      <w:r w:rsidRPr="0064145B">
        <w:rPr>
          <w:color w:val="1A1A1A"/>
          <w:sz w:val="22"/>
        </w:rPr>
        <w:t>a</w:t>
      </w:r>
      <w:proofErr w:type="gramEnd"/>
      <w:r w:rsidRPr="0064145B">
        <w:rPr>
          <w:color w:val="1A1A1A"/>
          <w:sz w:val="22"/>
        </w:rPr>
        <w:t xml:space="preserve"> interrupção da suplementação reforça a hipótese de interferência analítica. É provável que, no ensaio imunoturbidimétrico utilizado, altas concentrações de vitamina C tenham provocado reação cruzada ou alteração no ambiente da amostra, resultando em um valor falsamente elevado. Tal cenário ressalta </w:t>
      </w:r>
      <w:proofErr w:type="gramStart"/>
      <w:r w:rsidRPr="0064145B">
        <w:rPr>
          <w:color w:val="1A1A1A"/>
          <w:sz w:val="22"/>
        </w:rPr>
        <w:t>a</w:t>
      </w:r>
      <w:proofErr w:type="gramEnd"/>
      <w:r w:rsidRPr="0064145B">
        <w:rPr>
          <w:color w:val="1A1A1A"/>
          <w:sz w:val="22"/>
        </w:rPr>
        <w:t xml:space="preserve"> importância de questionar o resultado de A1c, especialmente quando há discordância entre o valor e o quadro clínico do paciente (Radin, 2013). </w:t>
      </w:r>
      <w:r w:rsidRPr="0064145B">
        <w:rPr>
          <w:b/>
          <w:color w:val="1A1A1A"/>
          <w:sz w:val="22"/>
        </w:rPr>
        <w:t>Considerações finais</w:t>
      </w:r>
      <w:r w:rsidRPr="0064145B">
        <w:rPr>
          <w:color w:val="1A1A1A"/>
          <w:sz w:val="22"/>
        </w:rPr>
        <w:t>: Este relato serve como um lembrete valioso para os profissionais de saúde sobre a necessidade de uma anamnese meticulosa e de uma interpretação crítica dos resultados laboratoriais, sempre contextualizada com a história completa do paciente e o conhecimento sobre as limitações e potenciais interferências dos métodos diagnósticos.</w:t>
      </w:r>
    </w:p>
    <w:p w:rsidR="000B5910" w:rsidRDefault="000B5910">
      <w:pPr>
        <w:pBdr>
          <w:bottom w:val="single" w:sz="4" w:space="2" w:color="808080"/>
        </w:pBdr>
        <w:spacing w:before="160" w:after="40"/>
      </w:pPr>
    </w:p>
    <w:p w:rsidR="000B5910" w:rsidRPr="0064145B" w:rsidRDefault="00057F5C">
      <w:pPr>
        <w:spacing w:after="0" w:line="252" w:lineRule="auto"/>
        <w:rPr>
          <w:sz w:val="16"/>
          <w:szCs w:val="16"/>
        </w:rPr>
      </w:pPr>
      <w:r w:rsidRPr="0064145B">
        <w:rPr>
          <w:color w:val="595959"/>
          <w:sz w:val="16"/>
          <w:szCs w:val="16"/>
          <w:vertAlign w:val="superscript"/>
        </w:rPr>
        <w:t>1</w:t>
      </w:r>
      <w:r w:rsidRPr="0064145B">
        <w:rPr>
          <w:color w:val="595959"/>
          <w:sz w:val="16"/>
          <w:szCs w:val="16"/>
        </w:rPr>
        <w:t xml:space="preserve"> Faculdade Evangélica Mackenzie do Paraná</w:t>
      </w:r>
    </w:p>
    <w:p w:rsidR="000B5910" w:rsidRDefault="000B5910">
      <w:pPr>
        <w:sectPr w:rsidR="000B5910">
          <w:headerReference w:type="default" r:id="rId57"/>
          <w:footerReference w:type="default" r:id="rId5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PERFIL EPIDEMIOLÓGICO DAS HOSPITALIZAÇÕES E MORTALIDADE POR DIABETES MELLITUS EM PEDIATRIA: UMA ANÁLISE COMPARATIVA NA REGIÃO SUL (2021-2024)</w:t>
      </w:r>
    </w:p>
    <w:p w:rsidR="000B5910" w:rsidRPr="0064145B" w:rsidRDefault="00057F5C">
      <w:pPr>
        <w:spacing w:after="40" w:line="252" w:lineRule="auto"/>
        <w:jc w:val="right"/>
        <w:rPr>
          <w:szCs w:val="21"/>
        </w:rPr>
      </w:pPr>
      <w:r w:rsidRPr="0064145B">
        <w:rPr>
          <w:color w:val="1A1A1A"/>
          <w:szCs w:val="21"/>
        </w:rPr>
        <w:t>Maria Fernanda Rial Farenzena</w:t>
      </w:r>
      <w:r w:rsidRPr="0064145B">
        <w:rPr>
          <w:color w:val="1A1A1A"/>
          <w:szCs w:val="21"/>
          <w:vertAlign w:val="superscript"/>
        </w:rPr>
        <w:t>1</w:t>
      </w:r>
      <w:r w:rsidRPr="0064145B">
        <w:rPr>
          <w:szCs w:val="21"/>
        </w:rPr>
        <w:br/>
      </w:r>
      <w:r w:rsidRPr="0064145B">
        <w:rPr>
          <w:color w:val="1A1A1A"/>
          <w:szCs w:val="21"/>
        </w:rPr>
        <w:t>Bruna Schwanck da Costa</w:t>
      </w:r>
      <w:r w:rsidRPr="0064145B">
        <w:rPr>
          <w:color w:val="1A1A1A"/>
          <w:szCs w:val="21"/>
          <w:vertAlign w:val="superscript"/>
        </w:rPr>
        <w:t>1</w:t>
      </w:r>
      <w:r w:rsidRPr="0064145B">
        <w:rPr>
          <w:szCs w:val="21"/>
        </w:rPr>
        <w:br/>
      </w:r>
      <w:r w:rsidRPr="0064145B">
        <w:rPr>
          <w:color w:val="1A1A1A"/>
          <w:szCs w:val="21"/>
        </w:rPr>
        <w:t>Jade Shehadeh Messina</w:t>
      </w:r>
      <w:r w:rsidRPr="0064145B">
        <w:rPr>
          <w:color w:val="1A1A1A"/>
          <w:szCs w:val="21"/>
          <w:vertAlign w:val="superscript"/>
        </w:rPr>
        <w:t>2</w:t>
      </w:r>
    </w:p>
    <w:p w:rsidR="000B5910" w:rsidRDefault="00057F5C">
      <w:pPr>
        <w:spacing w:before="240" w:after="100"/>
      </w:pPr>
      <w:r>
        <w:rPr>
          <w:b/>
          <w:color w:val="1A1A1A"/>
          <w:sz w:val="22"/>
        </w:rPr>
        <w:t>RESUMO</w:t>
      </w:r>
    </w:p>
    <w:p w:rsidR="000B5910" w:rsidRPr="0064145B" w:rsidRDefault="00057F5C">
      <w:pPr>
        <w:spacing w:after="80"/>
        <w:jc w:val="both"/>
        <w:rPr>
          <w:sz w:val="22"/>
        </w:rPr>
      </w:pPr>
      <w:r w:rsidRPr="0064145B">
        <w:rPr>
          <w:b/>
          <w:color w:val="1A1A1A"/>
          <w:sz w:val="22"/>
        </w:rPr>
        <w:t xml:space="preserve">Introdução: </w:t>
      </w:r>
      <w:r w:rsidRPr="0064145B">
        <w:rPr>
          <w:color w:val="1A1A1A"/>
          <w:sz w:val="22"/>
        </w:rPr>
        <w:t xml:space="preserve">O Diabetes mellitus (DM) é um grupo de doenças metabólicas caracterizado pela hiperglicemia, resultante de defeitos na secreção ou ação da insulina. O Diabetes Mellitus Tipo 1 (DM1) é a patologia endócrina de maior prevalência em crianças e adolescentes, a qual apresenta riscos de complicações pela deficiência insulínica severa. Entre estas, a cetoacidose diabética (CAD) destaca-se como a principal causa de morbimortalidade e hospitalizações nessa faixa etária. Associada ao diagnóstico tardio, sua análise no Sul brasileiro é crucial para embasar políticas públicas e ações educativas, considerando </w:t>
      </w:r>
      <w:proofErr w:type="gramStart"/>
      <w:r w:rsidRPr="0064145B">
        <w:rPr>
          <w:color w:val="1A1A1A"/>
          <w:sz w:val="22"/>
        </w:rPr>
        <w:t>a</w:t>
      </w:r>
      <w:proofErr w:type="gramEnd"/>
      <w:r w:rsidRPr="0064145B">
        <w:rPr>
          <w:color w:val="1A1A1A"/>
          <w:sz w:val="22"/>
        </w:rPr>
        <w:t xml:space="preserve"> alta incidência e os desfechos clínicos. </w:t>
      </w:r>
      <w:r w:rsidRPr="0064145B">
        <w:rPr>
          <w:b/>
          <w:color w:val="1A1A1A"/>
          <w:sz w:val="22"/>
        </w:rPr>
        <w:t>Objetivo</w:t>
      </w:r>
      <w:r w:rsidRPr="0064145B">
        <w:rPr>
          <w:color w:val="1A1A1A"/>
          <w:sz w:val="22"/>
        </w:rPr>
        <w:t xml:space="preserve">: Comparar o número de hospitalizações e a </w:t>
      </w:r>
      <w:proofErr w:type="gramStart"/>
      <w:r w:rsidRPr="0064145B">
        <w:rPr>
          <w:color w:val="1A1A1A"/>
          <w:sz w:val="22"/>
        </w:rPr>
        <w:t>taxa</w:t>
      </w:r>
      <w:proofErr w:type="gramEnd"/>
      <w:r w:rsidRPr="0064145B">
        <w:rPr>
          <w:color w:val="1A1A1A"/>
          <w:sz w:val="22"/>
        </w:rPr>
        <w:t xml:space="preserve"> de mortalidade por DM entre os estados do Sul do Brasil. </w:t>
      </w:r>
      <w:r w:rsidRPr="0064145B">
        <w:rPr>
          <w:b/>
          <w:color w:val="1A1A1A"/>
          <w:sz w:val="22"/>
        </w:rPr>
        <w:t xml:space="preserve">Métodos: </w:t>
      </w:r>
      <w:r w:rsidRPr="0064145B">
        <w:rPr>
          <w:color w:val="1A1A1A"/>
          <w:sz w:val="22"/>
        </w:rPr>
        <w:t xml:space="preserve">Estudo epidemiológico descritivo-quantitativo, realizado a partir de dados obtidos no DATASUS (sistemas SIH/SUS e SIM/TABNET) entre 2021 a 2024, na faixa etária (1 a 19 anos). Foram analisadas internações e óbitos por residência na região Sul, pelo CID-10 (DM), considerando número absoluto de internações, óbitos e a </w:t>
      </w:r>
      <w:proofErr w:type="gramStart"/>
      <w:r w:rsidRPr="0064145B">
        <w:rPr>
          <w:color w:val="1A1A1A"/>
          <w:sz w:val="22"/>
        </w:rPr>
        <w:t>taxa</w:t>
      </w:r>
      <w:proofErr w:type="gramEnd"/>
      <w:r w:rsidRPr="0064145B">
        <w:rPr>
          <w:color w:val="1A1A1A"/>
          <w:sz w:val="22"/>
        </w:rPr>
        <w:t xml:space="preserve"> de letalidade por Unidade da Federação. </w:t>
      </w:r>
      <w:r w:rsidRPr="0064145B">
        <w:rPr>
          <w:b/>
          <w:color w:val="1A1A1A"/>
          <w:sz w:val="22"/>
        </w:rPr>
        <w:t xml:space="preserve">Resultados: </w:t>
      </w:r>
      <w:r w:rsidRPr="0064145B">
        <w:rPr>
          <w:color w:val="1A1A1A"/>
          <w:sz w:val="22"/>
        </w:rPr>
        <w:t>No período analisado, a região Sul registrou 7.123 internações infanto-juvenis por DM, com crescimento anual progressivo de 30% nas hospitalizações (1.570 casos em 2021 para 2.039 em 2024). O Paraná (PR) concentrou o maior volume (n=2.974, 41,75%), seguido pelo Rio Grande do Sul (RS) (n=2.170, 30,46%) e Santa Catarina (SC) (n=1.979, 27,79%). Registraram-se (65) óbitos por DM, com PR liderando o índice com (38), enquanto o RS (15) e SC (12). Ao comparar esses óbitos com o volume de hospitalizações, verificou-se que o PR apresenta uma taxa de letalidade média de 1,05%, superior ao RS (0,53%) e SC (0,46%), representado mais que o dobro do risco de desfecho fatal, tendência mantida entre 2021 e 2024.</w:t>
      </w:r>
      <w:r w:rsidRPr="0064145B">
        <w:rPr>
          <w:b/>
          <w:color w:val="1A1A1A"/>
          <w:sz w:val="22"/>
        </w:rPr>
        <w:t xml:space="preserve"> Conclusão:</w:t>
      </w:r>
      <w:r w:rsidRPr="0064145B">
        <w:rPr>
          <w:color w:val="1A1A1A"/>
          <w:sz w:val="22"/>
        </w:rPr>
        <w:t xml:space="preserve"> O estudo evidencia que, entre 2021 e 2024, o estado do Paraná apresentou o maior número de internações e óbitos por Diabetes Mellitus na população pediátrica da Região Sul do Brasil. Além disso obteve uma taxa média de letalidade aproximadamente duas vezes superior à dos estados vizinhos, indicando um maior risco de óbito. Esses achados ressaltam a necessidade de estratégias de saúde pública direcionadas à prevenção, ao diagnóstico precoce e ao manejo adequado do Diabetes Mellitus, visando reduzir a morbimortalidade, especialmente relacionada à cetoacidose diabética infanto-juvenil.</w:t>
      </w:r>
    </w:p>
    <w:p w:rsidR="000B5910" w:rsidRDefault="000B5910">
      <w:pPr>
        <w:pBdr>
          <w:bottom w:val="single" w:sz="4" w:space="2" w:color="808080"/>
        </w:pBdr>
        <w:spacing w:before="160" w:after="40"/>
      </w:pPr>
    </w:p>
    <w:p w:rsidR="000B5910" w:rsidRPr="00420DBA" w:rsidRDefault="00057F5C">
      <w:pPr>
        <w:spacing w:after="0" w:line="252" w:lineRule="auto"/>
        <w:rPr>
          <w:sz w:val="16"/>
          <w:szCs w:val="16"/>
        </w:rPr>
      </w:pPr>
      <w:r w:rsidRPr="00420DBA">
        <w:rPr>
          <w:color w:val="595959"/>
          <w:sz w:val="16"/>
          <w:szCs w:val="16"/>
          <w:vertAlign w:val="superscript"/>
        </w:rPr>
        <w:t>1</w:t>
      </w:r>
      <w:r w:rsidRPr="00420DBA">
        <w:rPr>
          <w:color w:val="595959"/>
          <w:sz w:val="16"/>
          <w:szCs w:val="16"/>
        </w:rPr>
        <w:t xml:space="preserve"> Universidade Católica de Pelotas</w:t>
      </w:r>
    </w:p>
    <w:p w:rsidR="000B5910" w:rsidRPr="00420DBA" w:rsidRDefault="00057F5C">
      <w:pPr>
        <w:spacing w:after="0" w:line="252" w:lineRule="auto"/>
        <w:rPr>
          <w:sz w:val="16"/>
          <w:szCs w:val="16"/>
        </w:rPr>
      </w:pPr>
      <w:r w:rsidRPr="00420DBA">
        <w:rPr>
          <w:color w:val="595959"/>
          <w:sz w:val="16"/>
          <w:szCs w:val="16"/>
          <w:vertAlign w:val="superscript"/>
        </w:rPr>
        <w:t>2</w:t>
      </w:r>
      <w:r w:rsidRPr="00420DBA">
        <w:rPr>
          <w:color w:val="595959"/>
          <w:sz w:val="16"/>
          <w:szCs w:val="16"/>
        </w:rPr>
        <w:t xml:space="preserve"> Universidade Federal de Pelotas</w:t>
      </w:r>
    </w:p>
    <w:p w:rsidR="000B5910" w:rsidRDefault="000B5910">
      <w:pPr>
        <w:sectPr w:rsidR="000B5910">
          <w:headerReference w:type="default" r:id="rId59"/>
          <w:footerReference w:type="default" r:id="rId6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PROGRESSÃO PARA DIABETES TIPO 2 APÓS DIABETES GESTACIONAL: REVISÃO SISTEMÁTICA SOBRE OS FATORES DE RISCO E OPORTUNIDADES DE PREVENÇÃO</w:t>
      </w:r>
    </w:p>
    <w:p w:rsidR="000B5910" w:rsidRPr="00420DBA" w:rsidRDefault="00057F5C">
      <w:pPr>
        <w:spacing w:after="40" w:line="252" w:lineRule="auto"/>
        <w:jc w:val="right"/>
        <w:rPr>
          <w:szCs w:val="21"/>
        </w:rPr>
      </w:pPr>
      <w:r w:rsidRPr="00420DBA">
        <w:rPr>
          <w:color w:val="1A1A1A"/>
          <w:szCs w:val="21"/>
        </w:rPr>
        <w:t>Amanda De Conti Margutti</w:t>
      </w:r>
      <w:r w:rsidRPr="00420DBA">
        <w:rPr>
          <w:color w:val="1A1A1A"/>
          <w:szCs w:val="21"/>
          <w:vertAlign w:val="superscript"/>
        </w:rPr>
        <w:t>1</w:t>
      </w:r>
      <w:r w:rsidRPr="00420DBA">
        <w:rPr>
          <w:szCs w:val="21"/>
        </w:rPr>
        <w:br/>
      </w:r>
      <w:r w:rsidRPr="00420DBA">
        <w:rPr>
          <w:color w:val="1A1A1A"/>
          <w:szCs w:val="21"/>
        </w:rPr>
        <w:t>Eduarda Lucchese Osmarin</w:t>
      </w:r>
      <w:r w:rsidRPr="00420DBA">
        <w:rPr>
          <w:color w:val="1A1A1A"/>
          <w:szCs w:val="21"/>
          <w:vertAlign w:val="superscript"/>
        </w:rPr>
        <w:t>1</w:t>
      </w:r>
      <w:r w:rsidRPr="00420DBA">
        <w:rPr>
          <w:szCs w:val="21"/>
        </w:rPr>
        <w:br/>
      </w:r>
      <w:r w:rsidRPr="00420DBA">
        <w:rPr>
          <w:color w:val="1A1A1A"/>
          <w:szCs w:val="21"/>
        </w:rPr>
        <w:t>Eloisa Zago</w:t>
      </w:r>
      <w:r w:rsidRPr="00420DBA">
        <w:rPr>
          <w:color w:val="1A1A1A"/>
          <w:szCs w:val="21"/>
          <w:vertAlign w:val="superscript"/>
        </w:rPr>
        <w:t>1</w:t>
      </w:r>
      <w:r w:rsidRPr="00420DBA">
        <w:rPr>
          <w:szCs w:val="21"/>
        </w:rPr>
        <w:br/>
      </w:r>
      <w:r w:rsidRPr="00420DBA">
        <w:rPr>
          <w:color w:val="1A1A1A"/>
          <w:szCs w:val="21"/>
        </w:rPr>
        <w:t>Emily Deón Bento</w:t>
      </w:r>
      <w:r w:rsidRPr="00420DBA">
        <w:rPr>
          <w:color w:val="1A1A1A"/>
          <w:szCs w:val="21"/>
          <w:vertAlign w:val="superscript"/>
        </w:rPr>
        <w:t>1</w:t>
      </w:r>
      <w:r w:rsidRPr="00420DBA">
        <w:rPr>
          <w:szCs w:val="21"/>
        </w:rPr>
        <w:br/>
      </w:r>
      <w:r w:rsidRPr="00420DBA">
        <w:rPr>
          <w:color w:val="1A1A1A"/>
          <w:szCs w:val="21"/>
        </w:rPr>
        <w:t>Bruna Inez Facchin Caprara</w:t>
      </w:r>
      <w:r w:rsidRPr="00420DBA">
        <w:rPr>
          <w:color w:val="1A1A1A"/>
          <w:szCs w:val="21"/>
          <w:vertAlign w:val="superscript"/>
        </w:rPr>
        <w:t>1</w:t>
      </w:r>
      <w:r w:rsidRPr="00420DBA">
        <w:rPr>
          <w:szCs w:val="21"/>
        </w:rPr>
        <w:br/>
      </w:r>
      <w:r w:rsidRPr="00420DBA">
        <w:rPr>
          <w:color w:val="1A1A1A"/>
          <w:szCs w:val="21"/>
        </w:rPr>
        <w:t>Jackline Soares Teixeira</w:t>
      </w:r>
      <w:r w:rsidRPr="00420DBA">
        <w:rPr>
          <w:color w:val="1A1A1A"/>
          <w:szCs w:val="21"/>
          <w:vertAlign w:val="superscript"/>
        </w:rPr>
        <w:t>1</w:t>
      </w:r>
      <w:r w:rsidRPr="00420DBA">
        <w:rPr>
          <w:szCs w:val="21"/>
        </w:rPr>
        <w:br/>
      </w:r>
      <w:r w:rsidRPr="00420DBA">
        <w:rPr>
          <w:color w:val="1A1A1A"/>
          <w:szCs w:val="21"/>
        </w:rPr>
        <w:t>Bárbara Galvagna Nava</w:t>
      </w:r>
      <w:r w:rsidRPr="00420DBA">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420DBA" w:rsidRDefault="00057F5C">
      <w:pPr>
        <w:spacing w:after="80" w:line="264" w:lineRule="auto"/>
        <w:jc w:val="both"/>
        <w:rPr>
          <w:sz w:val="22"/>
        </w:rPr>
      </w:pPr>
      <w:r w:rsidRPr="00420DBA">
        <w:rPr>
          <w:b/>
          <w:color w:val="1A1A1A"/>
          <w:sz w:val="22"/>
        </w:rPr>
        <w:t>Introdução:</w:t>
      </w:r>
      <w:r w:rsidRPr="00420DBA">
        <w:rPr>
          <w:color w:val="1A1A1A"/>
          <w:sz w:val="22"/>
        </w:rPr>
        <w:t xml:space="preserve"> Diabetes Mellitus Gestacional (DMG) é definido como intolerância à glicose diagnosticada pela primeira vez na gestação, decorrente da incapacidade materna de compensar a resistência insulínica fisiológica. Embora a glicemia frequentemente normalize pós-parto, o DMG constitui marcador de risco para o desenvolvimento futuro de Diabetes Mellitus tipo 2 (DM2). </w:t>
      </w:r>
      <w:r w:rsidRPr="00420DBA">
        <w:rPr>
          <w:b/>
          <w:color w:val="1A1A1A"/>
          <w:sz w:val="22"/>
        </w:rPr>
        <w:t>Objetivo:</w:t>
      </w:r>
      <w:r w:rsidRPr="00420DBA">
        <w:rPr>
          <w:color w:val="1A1A1A"/>
          <w:sz w:val="22"/>
        </w:rPr>
        <w:t xml:space="preserve"> Analisar a progressão para DM2 em mulheres com histórico de DMG, identificando fatores de risco e estratégias de prevenção. </w:t>
      </w:r>
      <w:r w:rsidRPr="00420DBA">
        <w:rPr>
          <w:b/>
          <w:color w:val="1A1A1A"/>
          <w:sz w:val="22"/>
        </w:rPr>
        <w:t>Métodos</w:t>
      </w:r>
      <w:r w:rsidRPr="00420DBA">
        <w:rPr>
          <w:color w:val="1A1A1A"/>
          <w:sz w:val="22"/>
        </w:rPr>
        <w:t xml:space="preserve">: Realizou-se revisão sistemática nas bases PubMed e SciELO utilizando os descritores na língua inglesa: “gestational diabetes”, “pregnant women” “Diabetes Mellitus Type 2” com o operador booleano AND. Foram inseridos artigos disponíveis na íntegra e publicado entre 2021 e 2026. Excluíram-se duplicatas, revisões e estudos em animais. Dos 83 registros identificados, 25 foram selecionados para leitura dos resumos, resultando na inclusão final de oito. A seleção foi realizada por dois revisores independentes. </w:t>
      </w:r>
      <w:r w:rsidRPr="00420DBA">
        <w:rPr>
          <w:b/>
          <w:color w:val="1A1A1A"/>
          <w:sz w:val="22"/>
        </w:rPr>
        <w:t>Resultados:</w:t>
      </w:r>
      <w:r w:rsidRPr="00420DBA">
        <w:rPr>
          <w:color w:val="1A1A1A"/>
          <w:sz w:val="22"/>
        </w:rPr>
        <w:t xml:space="preserve"> A seleção de artigos totalizou mais de 2000 mulheres com histórico de DMG acompanhadas por períodos de 1 a 9 anos pós-parto. Predominaram estudos observacionais longitudinais, principalmente coortes prospectivas, avaliando pré-diabetes e DM2 como desfechos. A DMG confirmou-se como forte marcador de risco futuro. </w:t>
      </w:r>
      <w:proofErr w:type="gramStart"/>
      <w:r w:rsidRPr="00420DBA">
        <w:rPr>
          <w:color w:val="1A1A1A"/>
          <w:sz w:val="22"/>
        </w:rPr>
        <w:t>A</w:t>
      </w:r>
      <w:proofErr w:type="gramEnd"/>
      <w:r w:rsidRPr="00420DBA">
        <w:rPr>
          <w:color w:val="1A1A1A"/>
          <w:sz w:val="22"/>
        </w:rPr>
        <w:t xml:space="preserve"> incidência de DM2 variou entre 6% e 26%, com aumento progressivo conforme o tempo de seguimento. Em algumas coortes, 61% das mulheres apresentaram pelo menos um teste oral de tolerância à glicose alterado. O risco de progressão para DM2 não se restringiu a mulheres obesas, sendo elevado em mulheres com índice de massa corporal normal. Alterações metabólicas, como modificações em lipoproteínas, ácidos graxos, aminoácidos e marcadores inflamatórios, estavam presentes no início da gestação, sugerindo vulnerabilidade metabólica pré-existente. Níveis elevados de adiponectina associaram-se a melhor prognóstico. Alterações epigenéticas em genes relacionados à regulação metabólica e inflamatória apresentaram potencial valor preditivo. A lactação mostrou efeito protetor, já o controle do IMC no pós-parto esteve associado à redução do risco.</w:t>
      </w:r>
      <w:r w:rsidRPr="00420DBA">
        <w:rPr>
          <w:b/>
          <w:color w:val="1A1A1A"/>
          <w:sz w:val="22"/>
        </w:rPr>
        <w:t xml:space="preserve"> Conclusão:</w:t>
      </w:r>
      <w:r w:rsidRPr="00420DBA">
        <w:rPr>
          <w:color w:val="1A1A1A"/>
          <w:sz w:val="22"/>
        </w:rPr>
        <w:t xml:space="preserve"> O DMG associa-se a risco aumentado de DM2 no longo prazo, inclusive em mulheres não obesas. Esses achados reforçam </w:t>
      </w:r>
      <w:proofErr w:type="gramStart"/>
      <w:r w:rsidRPr="00420DBA">
        <w:rPr>
          <w:color w:val="1A1A1A"/>
          <w:sz w:val="22"/>
        </w:rPr>
        <w:t>a</w:t>
      </w:r>
      <w:proofErr w:type="gramEnd"/>
      <w:r w:rsidRPr="00420DBA">
        <w:rPr>
          <w:color w:val="1A1A1A"/>
          <w:sz w:val="22"/>
        </w:rPr>
        <w:t xml:space="preserve"> importância do rastreamento metabólico e do acompanhamento prolongado no pós-parto como estratégias centrais para estratificação de risco e prevenção da doença. </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do Vale do Taquari - Univates</w:t>
      </w:r>
    </w:p>
    <w:p w:rsidR="000B5910" w:rsidRDefault="000B5910">
      <w:pPr>
        <w:sectPr w:rsidR="000B5910">
          <w:headerReference w:type="default" r:id="rId61"/>
          <w:footerReference w:type="default" r:id="rId6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DIABETES MELLITUS DO TIPO 1 COM FASE DE LUA MEL PROLONGADA NÃO INSULINO-DEPENDENTE E USO DE IDPP-4 PARA CONTROLE GLICÊMICO</w:t>
      </w:r>
    </w:p>
    <w:p w:rsidR="000B5910" w:rsidRPr="00420DBA" w:rsidRDefault="00057F5C">
      <w:pPr>
        <w:spacing w:after="40" w:line="252" w:lineRule="auto"/>
        <w:jc w:val="right"/>
        <w:rPr>
          <w:szCs w:val="21"/>
        </w:rPr>
      </w:pPr>
      <w:r w:rsidRPr="00420DBA">
        <w:rPr>
          <w:color w:val="1A1A1A"/>
          <w:szCs w:val="21"/>
        </w:rPr>
        <w:t>Camila Torres dos Santos Mechi</w:t>
      </w:r>
      <w:r w:rsidRPr="00420DBA">
        <w:rPr>
          <w:color w:val="1A1A1A"/>
          <w:szCs w:val="21"/>
          <w:vertAlign w:val="superscript"/>
        </w:rPr>
        <w:t>1</w:t>
      </w:r>
      <w:r w:rsidRPr="00420DBA">
        <w:rPr>
          <w:szCs w:val="21"/>
        </w:rPr>
        <w:br/>
      </w:r>
      <w:r w:rsidRPr="00420DBA">
        <w:rPr>
          <w:color w:val="1A1A1A"/>
          <w:szCs w:val="21"/>
        </w:rPr>
        <w:t>Georgia Neres Benedetti</w:t>
      </w:r>
      <w:r w:rsidRPr="00420DBA">
        <w:rPr>
          <w:color w:val="1A1A1A"/>
          <w:szCs w:val="21"/>
          <w:vertAlign w:val="superscript"/>
        </w:rPr>
        <w:t>1</w:t>
      </w:r>
      <w:r w:rsidRPr="00420DBA">
        <w:rPr>
          <w:szCs w:val="21"/>
        </w:rPr>
        <w:br/>
      </w:r>
      <w:r w:rsidRPr="00420DBA">
        <w:rPr>
          <w:color w:val="1A1A1A"/>
          <w:szCs w:val="21"/>
        </w:rPr>
        <w:t>Isadora Zardo</w:t>
      </w:r>
      <w:r w:rsidRPr="00420DBA">
        <w:rPr>
          <w:color w:val="1A1A1A"/>
          <w:szCs w:val="21"/>
          <w:vertAlign w:val="superscript"/>
        </w:rPr>
        <w:t>1</w:t>
      </w:r>
      <w:r w:rsidRPr="00420DBA">
        <w:rPr>
          <w:szCs w:val="21"/>
        </w:rPr>
        <w:br/>
      </w:r>
      <w:r w:rsidRPr="00420DBA">
        <w:rPr>
          <w:color w:val="1A1A1A"/>
          <w:szCs w:val="21"/>
        </w:rPr>
        <w:t>Juliana Betoni Uliana</w:t>
      </w:r>
      <w:r w:rsidRPr="00420DBA">
        <w:rPr>
          <w:color w:val="1A1A1A"/>
          <w:szCs w:val="21"/>
          <w:vertAlign w:val="superscript"/>
        </w:rPr>
        <w:t>1</w:t>
      </w:r>
      <w:r w:rsidRPr="00420DBA">
        <w:rPr>
          <w:szCs w:val="21"/>
        </w:rPr>
        <w:br/>
      </w:r>
      <w:r w:rsidRPr="00420DBA">
        <w:rPr>
          <w:color w:val="1A1A1A"/>
          <w:szCs w:val="21"/>
        </w:rPr>
        <w:t>Juliana Maria Chaves</w:t>
      </w:r>
      <w:r w:rsidRPr="00420DBA">
        <w:rPr>
          <w:color w:val="1A1A1A"/>
          <w:szCs w:val="21"/>
          <w:vertAlign w:val="superscript"/>
        </w:rPr>
        <w:t>1</w:t>
      </w:r>
      <w:r w:rsidRPr="00420DBA">
        <w:rPr>
          <w:szCs w:val="21"/>
        </w:rPr>
        <w:br/>
      </w:r>
      <w:r w:rsidRPr="00420DBA">
        <w:rPr>
          <w:color w:val="1A1A1A"/>
          <w:szCs w:val="21"/>
        </w:rPr>
        <w:t>Tiago Mechi</w:t>
      </w:r>
      <w:r w:rsidRPr="00420DBA">
        <w:rPr>
          <w:color w:val="1A1A1A"/>
          <w:szCs w:val="21"/>
          <w:vertAlign w:val="superscript"/>
        </w:rPr>
        <w:t>2</w:t>
      </w:r>
    </w:p>
    <w:p w:rsidR="000B5910" w:rsidRDefault="00057F5C">
      <w:pPr>
        <w:spacing w:before="200" w:after="100"/>
        <w:rPr>
          <w:sz w:val="22"/>
          <w:szCs w:val="24"/>
        </w:rPr>
      </w:pPr>
      <w:r>
        <w:rPr>
          <w:b/>
          <w:color w:val="1A1A1A"/>
          <w:sz w:val="22"/>
          <w:szCs w:val="24"/>
        </w:rPr>
        <w:t>RESUMO</w:t>
      </w:r>
    </w:p>
    <w:p w:rsidR="000B5910" w:rsidRPr="00420DBA" w:rsidRDefault="00057F5C">
      <w:pPr>
        <w:spacing w:after="80" w:line="264" w:lineRule="auto"/>
        <w:jc w:val="both"/>
        <w:rPr>
          <w:sz w:val="22"/>
        </w:rPr>
      </w:pPr>
      <w:r w:rsidRPr="00420DBA">
        <w:rPr>
          <w:b/>
          <w:color w:val="1A1A1A"/>
          <w:sz w:val="22"/>
        </w:rPr>
        <w:t>Apresentação do Caso</w:t>
      </w:r>
      <w:r w:rsidRPr="00420DBA">
        <w:rPr>
          <w:color w:val="1A1A1A"/>
          <w:sz w:val="22"/>
        </w:rPr>
        <w:t xml:space="preserve">: Paciente do sexo masculino, 14 anos, buscou atendimento em setembro de 2023 com diagnóstico recente de diabetes mellitus tipo 1 (DM1). Quadro clínico caracterizado por visão turva, poliúria, polidipsia e perda ponderal. Na primeira consulta, fazia uso de insulina Glargina, com glicemias variando entre 211 e 470 mg/dL. Foi realizado ajuste da dose da Glargina e introdução de insulina análoga de ação rápida, totalizando 0,4 UI/kg/dia de insulina total. Exames laboratoriais: Anticorpos anti-insulina e anti-GAD positivos, hemoglobina glicada (HbA1c) 10,1% e peptídeo C 1,21 ng/mL. Foi instituído tratamento adjuvante com inibidor da dipeptidil peptidase-4 (iDPP-4), 25 mg/dia (Alogliptina). Em abril de 2024, o paciente retornou com episódios recorrentes de hipoglicemia, em uso de Glargina 10 UI/dia e havia suspendido o análogo de ação rápida - HbA1c 4,9%. Optou-se pela suspensão da Glargina e manteve-se monoterapia com iDPP-4. Em abril de 2025, observou-se ganho ponderal aproximado de 10 kg desde </w:t>
      </w:r>
      <w:proofErr w:type="gramStart"/>
      <w:r w:rsidRPr="00420DBA">
        <w:rPr>
          <w:color w:val="1A1A1A"/>
          <w:sz w:val="22"/>
        </w:rPr>
        <w:t>a</w:t>
      </w:r>
      <w:proofErr w:type="gramEnd"/>
      <w:r w:rsidRPr="00420DBA">
        <w:rPr>
          <w:color w:val="1A1A1A"/>
          <w:sz w:val="22"/>
        </w:rPr>
        <w:t xml:space="preserve"> avaliação inicial e bom controle glicêmico. Em julho de 2025, retornou após episódio de cetoacidose diabética (CAD) e perda ponderal de 9 kg - HbA1c 10,2%. Paciente suspendeu espontaneamente o uso da Alogliptina. Foi reiniciada insulinoterapia com insulina Glargina associada à análogo de ação rápida (0,5 UI/kg/dia insulina total) e reintrodução do iDPP-4. Em novembro de 2025, o paciente apresentava HbA1c 5,4% e glicemias entre 70 e 120 mg/dL, demonstrando adequada resposta à terapêutica instituída. </w:t>
      </w:r>
      <w:r w:rsidRPr="00420DBA">
        <w:rPr>
          <w:b/>
          <w:color w:val="1A1A1A"/>
          <w:sz w:val="22"/>
        </w:rPr>
        <w:t>Discussão:</w:t>
      </w:r>
      <w:r w:rsidRPr="00420DBA">
        <w:rPr>
          <w:color w:val="1A1A1A"/>
          <w:sz w:val="22"/>
        </w:rPr>
        <w:t xml:space="preserve"> A DM1 resulta da destruição autoimune das células beta pancreáticas. O aspecto mais relevante deste caso foi o uso adjuvante de iDPP-4 em paciente com DM1. Estudos sugerem que essa classe pode exercer efeitos imunomoduladores e atuar no sistema incretínico, contribuindo para preservação parcial da função das células beta e possível prolongamento da fase de “lua de mel”. Observou-se manutenção do controle glicêmico por período prolongado na ausência de insulinoterapia, com descompensação ocorrendo após interrupção espontânea da medicação. </w:t>
      </w:r>
      <w:r w:rsidRPr="00420DBA">
        <w:rPr>
          <w:b/>
          <w:color w:val="1A1A1A"/>
          <w:sz w:val="22"/>
        </w:rPr>
        <w:t>Considerações finais:</w:t>
      </w:r>
      <w:r w:rsidRPr="00420DBA">
        <w:rPr>
          <w:color w:val="1A1A1A"/>
          <w:sz w:val="22"/>
        </w:rPr>
        <w:t xml:space="preserve"> O caso destaca </w:t>
      </w:r>
      <w:proofErr w:type="gramStart"/>
      <w:r w:rsidRPr="00420DBA">
        <w:rPr>
          <w:color w:val="1A1A1A"/>
          <w:sz w:val="22"/>
        </w:rPr>
        <w:t>a</w:t>
      </w:r>
      <w:proofErr w:type="gramEnd"/>
      <w:r w:rsidRPr="00420DBA">
        <w:rPr>
          <w:color w:val="1A1A1A"/>
          <w:sz w:val="22"/>
        </w:rPr>
        <w:t xml:space="preserve"> importância da individualização terapêutica no manejo da DM1, especialmente diante de evoluções clínicas incomuns. Além disso, terapias adjuvantes como os iDPP-4 podem representar estratégias promissoras, embora ainda necessitem de maior evidência científica. O engajamento do paciente e o seguimento especializado são determinantes para o sucesso terapêutico.</w:t>
      </w:r>
    </w:p>
    <w:p w:rsidR="000B5910" w:rsidRDefault="000B5910">
      <w:pPr>
        <w:pBdr>
          <w:bottom w:val="single" w:sz="4" w:space="2" w:color="808080"/>
        </w:pBdr>
        <w:spacing w:before="120" w:after="40"/>
      </w:pPr>
    </w:p>
    <w:p w:rsidR="000B5910" w:rsidRPr="00420DBA" w:rsidRDefault="00057F5C">
      <w:pPr>
        <w:spacing w:after="0" w:line="252" w:lineRule="auto"/>
        <w:rPr>
          <w:sz w:val="16"/>
          <w:szCs w:val="16"/>
        </w:rPr>
      </w:pPr>
      <w:r w:rsidRPr="00420DBA">
        <w:rPr>
          <w:color w:val="595959"/>
          <w:sz w:val="16"/>
          <w:szCs w:val="16"/>
          <w:vertAlign w:val="superscript"/>
        </w:rPr>
        <w:t>1</w:t>
      </w:r>
      <w:r w:rsidRPr="00420DBA">
        <w:rPr>
          <w:color w:val="595959"/>
          <w:sz w:val="16"/>
          <w:szCs w:val="16"/>
        </w:rPr>
        <w:t xml:space="preserve"> Universidade de Caxias do Sul</w:t>
      </w:r>
    </w:p>
    <w:p w:rsidR="000B5910" w:rsidRPr="00420DBA" w:rsidRDefault="00057F5C">
      <w:pPr>
        <w:spacing w:after="0" w:line="252" w:lineRule="auto"/>
        <w:rPr>
          <w:sz w:val="16"/>
          <w:szCs w:val="16"/>
        </w:rPr>
      </w:pPr>
      <w:r w:rsidRPr="00420DBA">
        <w:rPr>
          <w:color w:val="595959"/>
          <w:sz w:val="16"/>
          <w:szCs w:val="16"/>
          <w:vertAlign w:val="superscript"/>
        </w:rPr>
        <w:t>2</w:t>
      </w:r>
      <w:r w:rsidRPr="00420DBA">
        <w:rPr>
          <w:color w:val="595959"/>
          <w:sz w:val="16"/>
          <w:szCs w:val="16"/>
        </w:rPr>
        <w:t xml:space="preserve"> Clínica Veratto</w:t>
      </w:r>
    </w:p>
    <w:p w:rsidR="000B5910" w:rsidRDefault="000B5910">
      <w:pPr>
        <w:sectPr w:rsidR="000B5910">
          <w:headerReference w:type="default" r:id="rId63"/>
          <w:footerReference w:type="default" r:id="rId6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ESTIMATIVA DA DIFERENÇA MÍNIMA CLINICAMENTE RELEVANTE DO SELF-CARE INVENTORY-REVISED EM PACIENTES COM DIABETES TIPO 2 NO BRASIL</w:t>
      </w:r>
    </w:p>
    <w:p w:rsidR="000B5910" w:rsidRPr="00420DBA" w:rsidRDefault="00057F5C">
      <w:pPr>
        <w:spacing w:after="40" w:line="252" w:lineRule="auto"/>
        <w:jc w:val="right"/>
        <w:rPr>
          <w:szCs w:val="21"/>
        </w:rPr>
      </w:pPr>
      <w:r w:rsidRPr="00420DBA">
        <w:rPr>
          <w:color w:val="1A1A1A"/>
          <w:szCs w:val="21"/>
        </w:rPr>
        <w:t>Alice Weiss Jung</w:t>
      </w:r>
      <w:r w:rsidRPr="00420DBA">
        <w:rPr>
          <w:color w:val="1A1A1A"/>
          <w:szCs w:val="21"/>
          <w:vertAlign w:val="superscript"/>
        </w:rPr>
        <w:t>1</w:t>
      </w:r>
      <w:r w:rsidRPr="00420DBA">
        <w:rPr>
          <w:szCs w:val="21"/>
        </w:rPr>
        <w:br/>
      </w:r>
      <w:r w:rsidRPr="00420DBA">
        <w:rPr>
          <w:color w:val="1A1A1A"/>
          <w:szCs w:val="21"/>
        </w:rPr>
        <w:t>Lucas Stassburger Matzenbacher</w:t>
      </w:r>
      <w:r w:rsidRPr="00420DBA">
        <w:rPr>
          <w:color w:val="1A1A1A"/>
          <w:szCs w:val="21"/>
          <w:vertAlign w:val="superscript"/>
        </w:rPr>
        <w:t>1</w:t>
      </w:r>
      <w:r w:rsidRPr="00420DBA">
        <w:rPr>
          <w:szCs w:val="21"/>
        </w:rPr>
        <w:br/>
      </w:r>
      <w:r w:rsidRPr="00420DBA">
        <w:rPr>
          <w:color w:val="1A1A1A"/>
          <w:szCs w:val="21"/>
        </w:rPr>
        <w:t>Antônio Gomes Boabaid de Barros</w:t>
      </w:r>
      <w:r w:rsidRPr="00420DBA">
        <w:rPr>
          <w:color w:val="1A1A1A"/>
          <w:szCs w:val="21"/>
          <w:vertAlign w:val="superscript"/>
        </w:rPr>
        <w:t>1</w:t>
      </w:r>
      <w:r w:rsidRPr="00420DBA">
        <w:rPr>
          <w:szCs w:val="21"/>
        </w:rPr>
        <w:br/>
      </w:r>
      <w:r w:rsidRPr="00420DBA">
        <w:rPr>
          <w:color w:val="1A1A1A"/>
          <w:szCs w:val="21"/>
        </w:rPr>
        <w:t>Luiza Machado Blank</w:t>
      </w:r>
      <w:r w:rsidRPr="00420DBA">
        <w:rPr>
          <w:color w:val="1A1A1A"/>
          <w:szCs w:val="21"/>
          <w:vertAlign w:val="superscript"/>
        </w:rPr>
        <w:t>1</w:t>
      </w:r>
      <w:r w:rsidRPr="00420DBA">
        <w:rPr>
          <w:szCs w:val="21"/>
        </w:rPr>
        <w:br/>
      </w:r>
      <w:r w:rsidRPr="00420DBA">
        <w:rPr>
          <w:color w:val="1A1A1A"/>
          <w:szCs w:val="21"/>
        </w:rPr>
        <w:t>Helena Sanmartin De Carvalho</w:t>
      </w:r>
      <w:r w:rsidRPr="00420DBA">
        <w:rPr>
          <w:color w:val="1A1A1A"/>
          <w:szCs w:val="21"/>
          <w:vertAlign w:val="superscript"/>
        </w:rPr>
        <w:t>1</w:t>
      </w:r>
      <w:r w:rsidRPr="00420DBA">
        <w:rPr>
          <w:szCs w:val="21"/>
        </w:rPr>
        <w:br/>
      </w:r>
      <w:r w:rsidRPr="00420DBA">
        <w:rPr>
          <w:color w:val="1A1A1A"/>
          <w:szCs w:val="21"/>
        </w:rPr>
        <w:t>Gabriela Heiden Teló</w:t>
      </w:r>
      <w:r w:rsidRPr="00420DBA">
        <w:rPr>
          <w:color w:val="1A1A1A"/>
          <w:szCs w:val="21"/>
          <w:vertAlign w:val="superscript"/>
        </w:rPr>
        <w:t>1</w:t>
      </w:r>
    </w:p>
    <w:p w:rsidR="000B5910" w:rsidRDefault="00057F5C">
      <w:pPr>
        <w:spacing w:before="200" w:after="100"/>
      </w:pPr>
      <w:r>
        <w:rPr>
          <w:b/>
          <w:color w:val="1A1A1A"/>
          <w:sz w:val="22"/>
          <w:szCs w:val="24"/>
        </w:rPr>
        <w:t>RESUMO</w:t>
      </w:r>
    </w:p>
    <w:p w:rsidR="000B5910" w:rsidRPr="00420DBA" w:rsidRDefault="00057F5C">
      <w:pPr>
        <w:spacing w:after="80" w:line="264" w:lineRule="auto"/>
        <w:jc w:val="both"/>
        <w:rPr>
          <w:sz w:val="22"/>
        </w:rPr>
      </w:pPr>
      <w:r w:rsidRPr="00420DBA">
        <w:rPr>
          <w:b/>
          <w:color w:val="1A1A1A"/>
          <w:sz w:val="22"/>
        </w:rPr>
        <w:t>Introdução:</w:t>
      </w:r>
      <w:r w:rsidRPr="00420DBA">
        <w:rPr>
          <w:color w:val="1A1A1A"/>
          <w:sz w:val="22"/>
        </w:rPr>
        <w:t xml:space="preserve"> A avaliação da adesão ao tratamento em pacientes com diabetes é essencial para o manejo adequado da doença, mas permanece desafiadora na prática clínica. O Self-Care Inventory-Revised (SCI-R) é um questionário validado amplamente utilizado para mensurar comportamentos de autocuidado relacionados ao manejo do diabetes, no qual escores mais elevados indicam maior adesão às medidas de autocuidado. Entretanto, ainda não há estimativas da Diferença Mínima Clinicamente Relevante (DMCR) para esse instrumento na população brasileira. </w:t>
      </w:r>
      <w:r w:rsidRPr="00420DBA">
        <w:rPr>
          <w:b/>
          <w:color w:val="1A1A1A"/>
          <w:sz w:val="22"/>
        </w:rPr>
        <w:t>Objetivo:</w:t>
      </w:r>
      <w:r w:rsidRPr="00420DBA">
        <w:rPr>
          <w:color w:val="1A1A1A"/>
          <w:sz w:val="22"/>
        </w:rPr>
        <w:t xml:space="preserve"> Estimar a DMCR do questionário SCI-R em pacientes com diabetes tipo 2 na população brasileira. </w:t>
      </w:r>
      <w:r w:rsidRPr="00420DBA">
        <w:rPr>
          <w:b/>
          <w:color w:val="1A1A1A"/>
          <w:sz w:val="22"/>
        </w:rPr>
        <w:t>Métodos:</w:t>
      </w:r>
      <w:r w:rsidRPr="00420DBA">
        <w:rPr>
          <w:color w:val="1A1A1A"/>
          <w:sz w:val="22"/>
        </w:rPr>
        <w:t xml:space="preserve"> Foi realizado um estudo de coorte prospectivo incluindo pacientes com diabetes tipo 2 atendidos em um serviço de atenção terciária no sul do Brasil. Os participantes foram acompanhados por três meses, com aplicação do questionário SCI-R e dosagem de HbA1c no início e ao final do período de seguimento. A responsividade do instrumento foi avaliada pelo índice de resposta padronizada (standardized response mean, SRM), enquanto a DMCR foi estimada por métodos de ancoragem, utilizando redução ≥0,5% na HbA1c como âncora, e por métodos baseados em distribuição (meia unidade do desvio-padrão e o erro padrão de medida [EPM]). O ponto de corte ideal foi determinado por análise de curva ROC, definido como o valor que maximiza o índice de Youden. </w:t>
      </w:r>
      <w:r w:rsidRPr="00420DBA">
        <w:rPr>
          <w:b/>
          <w:color w:val="1A1A1A"/>
          <w:sz w:val="22"/>
        </w:rPr>
        <w:t>Resultados</w:t>
      </w:r>
      <w:r w:rsidRPr="00420DBA">
        <w:rPr>
          <w:color w:val="1A1A1A"/>
          <w:sz w:val="22"/>
        </w:rPr>
        <w:t xml:space="preserve">: Foram incluídos 112 participantes com idade média de 72,5±5,7 anos, sendo 63,4% mulheres. A pontuação média no SCI-R aumentou de 35,9±6,38 pontos para 38,1±5,66 pontos após três meses de seguimento, enquanto a HbA1c média variou de 7,9±1,5% para 7,8%±1,4% no período, com 25,7% dos participantes apresentando redução ≥0,5%. O SRM foi de 0,4, indicando responsividade pequena a moderada do instrumento. Pela abordagem baseada em ancoragem, </w:t>
      </w:r>
      <w:proofErr w:type="gramStart"/>
      <w:r w:rsidRPr="00420DBA">
        <w:rPr>
          <w:color w:val="1A1A1A"/>
          <w:sz w:val="22"/>
        </w:rPr>
        <w:t>a</w:t>
      </w:r>
      <w:proofErr w:type="gramEnd"/>
      <w:r w:rsidRPr="00420DBA">
        <w:rPr>
          <w:color w:val="1A1A1A"/>
          <w:sz w:val="22"/>
        </w:rPr>
        <w:t xml:space="preserve"> análise da curva ROC apresentou AUC de 0,73. Uma variação de 3,5 pontos no SCI-R foi o valor que melhor discriminou melhora clínica, com sensibilidade de 67% e especificidade de 70% para detectar redução ≥0,5% na HbA1c. Já pelos métodos de distribuição, a DMCR foi de 3,2 pontos (meia unidade do desvio-padrão) e 3,9 pontos (SEM). </w:t>
      </w:r>
      <w:r w:rsidRPr="00420DBA">
        <w:rPr>
          <w:b/>
          <w:color w:val="1A1A1A"/>
          <w:sz w:val="22"/>
        </w:rPr>
        <w:t>Conclusão:</w:t>
      </w:r>
      <w:r w:rsidRPr="00420DBA">
        <w:rPr>
          <w:color w:val="1A1A1A"/>
          <w:sz w:val="22"/>
        </w:rPr>
        <w:t xml:space="preserve"> A DMCR do SCI-R na população estudada situa-se entre 3 e 4 pontos, valor que pode servir como indicador indireto da efetividade de intervenções voltadas ao autocuidado no diabetes e auxiliar na interpretação de mudanças clinicamente relevantes em estudos clínicos e na prática assistencial.</w:t>
      </w:r>
    </w:p>
    <w:p w:rsidR="000B5910" w:rsidRPr="00420DBA" w:rsidRDefault="000B5910">
      <w:pPr>
        <w:pBdr>
          <w:bottom w:val="single" w:sz="4" w:space="2" w:color="808080"/>
        </w:pBdr>
        <w:spacing w:before="120" w:after="40"/>
        <w:rPr>
          <w:sz w:val="20"/>
        </w:rPr>
      </w:pPr>
    </w:p>
    <w:p w:rsidR="000B5910" w:rsidRDefault="00057F5C">
      <w:pPr>
        <w:spacing w:after="0" w:line="252" w:lineRule="auto"/>
      </w:pPr>
      <w:r>
        <w:rPr>
          <w:color w:val="595959"/>
          <w:sz w:val="13"/>
          <w:vertAlign w:val="superscript"/>
        </w:rPr>
        <w:t>1</w:t>
      </w:r>
      <w:r>
        <w:rPr>
          <w:color w:val="595959"/>
          <w:sz w:val="16"/>
        </w:rPr>
        <w:t xml:space="preserve"> PUCRS</w:t>
      </w:r>
    </w:p>
    <w:p w:rsidR="000B5910" w:rsidRDefault="000B5910">
      <w:pPr>
        <w:sectPr w:rsidR="000B5910">
          <w:headerReference w:type="default" r:id="rId65"/>
          <w:footerReference w:type="default" r:id="rId6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PREDITORES METABÓLICOS, VASCULARES E INFLAMATÓRIOS DA PROGRESSÃO DA RETINOPATIA DIABÉTICA NO DIABETES TIPO 2</w:t>
      </w:r>
    </w:p>
    <w:p w:rsidR="000B5910" w:rsidRPr="00AF39C9" w:rsidRDefault="00057F5C">
      <w:pPr>
        <w:spacing w:after="40" w:line="252" w:lineRule="auto"/>
        <w:jc w:val="right"/>
        <w:rPr>
          <w:szCs w:val="21"/>
        </w:rPr>
      </w:pPr>
      <w:r w:rsidRPr="00AF39C9">
        <w:rPr>
          <w:color w:val="1A1A1A"/>
          <w:szCs w:val="21"/>
        </w:rPr>
        <w:t>Aisha Maruf Ahmad Mahmoud</w:t>
      </w:r>
      <w:r w:rsidRPr="00AF39C9">
        <w:rPr>
          <w:color w:val="1A1A1A"/>
          <w:szCs w:val="21"/>
          <w:vertAlign w:val="superscript"/>
        </w:rPr>
        <w:t>1</w:t>
      </w:r>
      <w:r w:rsidRPr="00AF39C9">
        <w:rPr>
          <w:szCs w:val="21"/>
        </w:rPr>
        <w:br/>
      </w:r>
      <w:r w:rsidRPr="00AF39C9">
        <w:rPr>
          <w:color w:val="1A1A1A"/>
          <w:szCs w:val="21"/>
        </w:rPr>
        <w:t>Giovana Schnack Kunzler</w:t>
      </w:r>
      <w:r w:rsidRPr="00AF39C9">
        <w:rPr>
          <w:color w:val="1A1A1A"/>
          <w:szCs w:val="21"/>
          <w:vertAlign w:val="superscript"/>
        </w:rPr>
        <w:t>1</w:t>
      </w:r>
      <w:r w:rsidRPr="00AF39C9">
        <w:rPr>
          <w:szCs w:val="21"/>
        </w:rPr>
        <w:br/>
      </w:r>
      <w:r w:rsidRPr="00AF39C9">
        <w:rPr>
          <w:color w:val="1A1A1A"/>
          <w:szCs w:val="21"/>
        </w:rPr>
        <w:t>Maria Luiza Bartz Pires</w:t>
      </w:r>
      <w:r w:rsidRPr="00AF39C9">
        <w:rPr>
          <w:color w:val="1A1A1A"/>
          <w:szCs w:val="21"/>
          <w:vertAlign w:val="superscript"/>
        </w:rPr>
        <w:t>1</w:t>
      </w:r>
      <w:r w:rsidRPr="00AF39C9">
        <w:rPr>
          <w:szCs w:val="21"/>
        </w:rPr>
        <w:br/>
      </w:r>
      <w:r w:rsidRPr="00AF39C9">
        <w:rPr>
          <w:color w:val="1A1A1A"/>
          <w:szCs w:val="21"/>
        </w:rPr>
        <w:t>Ana Rita Breier</w:t>
      </w:r>
      <w:r w:rsidRPr="00AF39C9">
        <w:rPr>
          <w:color w:val="1A1A1A"/>
          <w:szCs w:val="21"/>
          <w:vertAlign w:val="superscript"/>
        </w:rPr>
        <w:t>1</w:t>
      </w:r>
    </w:p>
    <w:p w:rsidR="000B5910" w:rsidRDefault="00057F5C">
      <w:pPr>
        <w:spacing w:before="240" w:after="100"/>
      </w:pPr>
      <w:r>
        <w:rPr>
          <w:b/>
          <w:color w:val="1A1A1A"/>
          <w:sz w:val="22"/>
        </w:rPr>
        <w:t>RESUMO</w:t>
      </w:r>
    </w:p>
    <w:p w:rsidR="000B5910" w:rsidRPr="00AF39C9" w:rsidRDefault="00057F5C">
      <w:pPr>
        <w:spacing w:after="80"/>
        <w:jc w:val="both"/>
        <w:rPr>
          <w:sz w:val="22"/>
        </w:rPr>
      </w:pPr>
      <w:r w:rsidRPr="00AF39C9">
        <w:rPr>
          <w:b/>
          <w:color w:val="1A1A1A"/>
          <w:sz w:val="22"/>
        </w:rPr>
        <w:t>Introdução:</w:t>
      </w:r>
      <w:r w:rsidRPr="00AF39C9">
        <w:rPr>
          <w:color w:val="1A1A1A"/>
          <w:sz w:val="22"/>
        </w:rPr>
        <w:t xml:space="preserve"> A retinopatia diabética (RD) afeta aproximadamente 30–35% dos pacientes com diabetes mellitus tipo 2 (DM2) globalmente, sendo uma das principais causas de perda visual em adultos. Embora o controle glicêmico e a progressão da doença sejam fatores de risco clássicos, o DM2 é uma condição heterogênea. Evidências recentes sugerem que </w:t>
      </w:r>
      <w:proofErr w:type="gramStart"/>
      <w:r w:rsidRPr="00AF39C9">
        <w:rPr>
          <w:color w:val="1A1A1A"/>
          <w:sz w:val="22"/>
        </w:rPr>
        <w:t>a</w:t>
      </w:r>
      <w:proofErr w:type="gramEnd"/>
      <w:r w:rsidRPr="00AF39C9">
        <w:rPr>
          <w:color w:val="1A1A1A"/>
          <w:sz w:val="22"/>
        </w:rPr>
        <w:t xml:space="preserve"> evolução da RD é influenciada por múltiplos preditores metabólicos, vasculares e inflamatórios, refletindo diferentes mecanismos fisiopatológicos. </w:t>
      </w:r>
      <w:r w:rsidRPr="00AF39C9">
        <w:rPr>
          <w:b/>
          <w:color w:val="1A1A1A"/>
          <w:sz w:val="22"/>
        </w:rPr>
        <w:t>Objetivo:</w:t>
      </w:r>
      <w:r w:rsidRPr="00AF39C9">
        <w:rPr>
          <w:color w:val="1A1A1A"/>
          <w:sz w:val="22"/>
        </w:rPr>
        <w:t xml:space="preserve"> Identificar e descrever os principais preditores de incidência e progressão da RD em pacientes com DM2, com foco em biomarcadores metabólicos, fatores vasculares e comorbidades inflamatórias sistêmicas. </w:t>
      </w:r>
      <w:r w:rsidRPr="00AF39C9">
        <w:rPr>
          <w:b/>
          <w:color w:val="1A1A1A"/>
          <w:sz w:val="22"/>
        </w:rPr>
        <w:t>Métodos:</w:t>
      </w:r>
      <w:r w:rsidRPr="00AF39C9">
        <w:rPr>
          <w:color w:val="1A1A1A"/>
          <w:sz w:val="22"/>
        </w:rPr>
        <w:t xml:space="preserve"> Realizou-se revisão estruturada da literatura baseada em estudos de coorte populacionais e registros nacionais de saúde dos Estados Unidos, Dinamarca, Suécia e Cuba. Os estudos avaliaram subtipos fisiopatológicos do DM2 por meio do modelo HOMA2, além de exames oftalmológicos, como fundoscopia e retinografia digital, para detecção de alterações microvasculares. </w:t>
      </w:r>
      <w:r w:rsidRPr="00AF39C9">
        <w:rPr>
          <w:b/>
          <w:color w:val="1A1A1A"/>
          <w:sz w:val="22"/>
        </w:rPr>
        <w:t>Resultados</w:t>
      </w:r>
      <w:r w:rsidRPr="00AF39C9">
        <w:rPr>
          <w:color w:val="1A1A1A"/>
          <w:sz w:val="22"/>
        </w:rPr>
        <w:t xml:space="preserve">: Foram identificados preditores relevantes para progressão da RD. Pacientes com perfil hiperinsulinêmico (alta função de célula Î² e baixa sensibilidade à insulina) apresentaram risco 47% menor de progressão (HR 0,53), enquanto redução da função da célula Î² (HOMA2-B &lt;100%) associou-se a maior incidência e progressão da RD. Níveis elevados de LDL em pacientes com RD prévia predisseram maior risco de edema macular diabético (HR 1,42), e o aumento do colesterol total correlacionou-se com maior dano microvascular retiniano. Entre fatores vasculares, pressão arterial sistólica elevada e hipertensão arterial associaram-se </w:t>
      </w:r>
      <w:proofErr w:type="gramStart"/>
      <w:r w:rsidRPr="00AF39C9">
        <w:rPr>
          <w:color w:val="1A1A1A"/>
          <w:sz w:val="22"/>
        </w:rPr>
        <w:t>a</w:t>
      </w:r>
      <w:proofErr w:type="gramEnd"/>
      <w:r w:rsidRPr="00AF39C9">
        <w:rPr>
          <w:color w:val="1A1A1A"/>
          <w:sz w:val="22"/>
        </w:rPr>
        <w:t xml:space="preserve"> alterações estruturais da microcirculação retiniana. </w:t>
      </w:r>
      <w:r w:rsidRPr="00AF39C9">
        <w:rPr>
          <w:b/>
          <w:color w:val="1A1A1A"/>
          <w:sz w:val="22"/>
        </w:rPr>
        <w:t>Conclusão</w:t>
      </w:r>
      <w:r w:rsidRPr="00AF39C9">
        <w:rPr>
          <w:color w:val="1A1A1A"/>
          <w:sz w:val="22"/>
        </w:rPr>
        <w:t>: A progressão da RD no DM2 apresenta natureza multifatorial e não pode ser explicada apenas pelo controle da hemoglobina glicada. A subcategorização fisiopatológica do DM2, associada ao monitoramento de fatores metabólicos, vasculares e inflamatórios, pode contribuir para estratégias mais individualizadas de rastreamento e prevenção das complicações visuais. Observa-se, entretanto, escassez de estudos na literatura que avaliem de forma integrada esses preditores, bem como ausência de pesquisas conduzidas no Brasil, evidenciando lacuna relevante na produção científica e a necessidade de investigações futuras em diferentes contextos populacionais.</w:t>
      </w:r>
    </w:p>
    <w:p w:rsidR="000B5910" w:rsidRDefault="000B5910">
      <w:pPr>
        <w:pBdr>
          <w:bottom w:val="single" w:sz="4" w:space="2" w:color="808080"/>
        </w:pBdr>
        <w:spacing w:before="160" w:after="40"/>
      </w:pPr>
    </w:p>
    <w:p w:rsidR="000B5910" w:rsidRPr="00AF39C9" w:rsidRDefault="00057F5C">
      <w:pPr>
        <w:spacing w:after="0" w:line="252" w:lineRule="auto"/>
        <w:rPr>
          <w:sz w:val="16"/>
          <w:szCs w:val="16"/>
        </w:rPr>
      </w:pPr>
      <w:r w:rsidRPr="00AF39C9">
        <w:rPr>
          <w:color w:val="595959"/>
          <w:sz w:val="16"/>
          <w:szCs w:val="16"/>
          <w:vertAlign w:val="superscript"/>
        </w:rPr>
        <w:t>1</w:t>
      </w:r>
      <w:r w:rsidRPr="00AF39C9">
        <w:rPr>
          <w:color w:val="595959"/>
          <w:sz w:val="16"/>
          <w:szCs w:val="16"/>
        </w:rPr>
        <w:t xml:space="preserve"> Universidade do Vale do Rio dos Sinos (UNISINOS</w:t>
      </w:r>
    </w:p>
    <w:p w:rsidR="000B5910" w:rsidRDefault="000B5910">
      <w:pPr>
        <w:sectPr w:rsidR="000B5910">
          <w:headerReference w:type="default" r:id="rId67"/>
          <w:footerReference w:type="default" r:id="rId68"/>
          <w:pgSz w:w="12240" w:h="15840"/>
          <w:pgMar w:top="1417" w:right="1417" w:bottom="1417" w:left="1417" w:header="680" w:footer="680" w:gutter="0"/>
          <w:cols w:space="720"/>
        </w:sectPr>
      </w:pPr>
    </w:p>
    <w:p w:rsidR="000B5910" w:rsidRDefault="00057F5C">
      <w:pPr>
        <w:spacing w:before="80" w:line="252" w:lineRule="auto"/>
        <w:jc w:val="center"/>
        <w:rPr>
          <w:spacing w:val="-11"/>
          <w:sz w:val="22"/>
          <w:szCs w:val="24"/>
        </w:rPr>
      </w:pPr>
      <w:r>
        <w:rPr>
          <w:b/>
          <w:color w:val="1A1A1A"/>
          <w:spacing w:val="-11"/>
          <w:sz w:val="28"/>
          <w:szCs w:val="24"/>
        </w:rPr>
        <w:lastRenderedPageBreak/>
        <w:t>INCIDÊNCIA DE PANCREATITE NA ERA DOS NOVOS ANTIDIABÉTICOS E ANTIOBESIDADE: UM LEVANTAMENTO DE DADOS DE 2020 A 2025</w:t>
      </w:r>
    </w:p>
    <w:p w:rsidR="000B5910" w:rsidRPr="00AF39C9" w:rsidRDefault="00057F5C">
      <w:pPr>
        <w:spacing w:after="40" w:line="252" w:lineRule="auto"/>
        <w:jc w:val="right"/>
        <w:rPr>
          <w:szCs w:val="21"/>
        </w:rPr>
      </w:pPr>
      <w:r w:rsidRPr="00AF39C9">
        <w:rPr>
          <w:color w:val="1A1A1A"/>
          <w:szCs w:val="21"/>
        </w:rPr>
        <w:t>Natália Toebe Giudice da Costa</w:t>
      </w:r>
      <w:r w:rsidRPr="00AF39C9">
        <w:rPr>
          <w:color w:val="1A1A1A"/>
          <w:szCs w:val="21"/>
          <w:vertAlign w:val="superscript"/>
        </w:rPr>
        <w:t>1</w:t>
      </w:r>
      <w:r w:rsidRPr="00AF39C9">
        <w:rPr>
          <w:szCs w:val="21"/>
        </w:rPr>
        <w:br/>
      </w:r>
      <w:r w:rsidRPr="00AF39C9">
        <w:rPr>
          <w:color w:val="1A1A1A"/>
          <w:szCs w:val="21"/>
        </w:rPr>
        <w:t>Camila Rafaela Lazaretti</w:t>
      </w:r>
      <w:r w:rsidRPr="00AF39C9">
        <w:rPr>
          <w:color w:val="1A1A1A"/>
          <w:szCs w:val="21"/>
          <w:vertAlign w:val="superscript"/>
        </w:rPr>
        <w:t>2</w:t>
      </w:r>
      <w:r w:rsidRPr="00AF39C9">
        <w:rPr>
          <w:szCs w:val="21"/>
        </w:rPr>
        <w:br/>
      </w:r>
      <w:r w:rsidRPr="00AF39C9">
        <w:rPr>
          <w:color w:val="1A1A1A"/>
          <w:szCs w:val="21"/>
        </w:rPr>
        <w:t>Ilanna Pinheiro Campos</w:t>
      </w:r>
      <w:r w:rsidRPr="00AF39C9">
        <w:rPr>
          <w:color w:val="1A1A1A"/>
          <w:szCs w:val="21"/>
          <w:vertAlign w:val="superscript"/>
        </w:rPr>
        <w:t>3</w:t>
      </w:r>
      <w:r w:rsidRPr="00AF39C9">
        <w:rPr>
          <w:szCs w:val="21"/>
        </w:rPr>
        <w:br/>
      </w:r>
      <w:r w:rsidRPr="00AF39C9">
        <w:rPr>
          <w:color w:val="1A1A1A"/>
          <w:szCs w:val="21"/>
        </w:rPr>
        <w:t>Eduardo Flach Klein</w:t>
      </w:r>
      <w:r w:rsidRPr="00AF39C9">
        <w:rPr>
          <w:color w:val="1A1A1A"/>
          <w:szCs w:val="21"/>
          <w:vertAlign w:val="superscript"/>
        </w:rPr>
        <w:t>4</w:t>
      </w:r>
      <w:r w:rsidRPr="00AF39C9">
        <w:rPr>
          <w:szCs w:val="21"/>
        </w:rPr>
        <w:br/>
      </w:r>
      <w:r w:rsidRPr="00AF39C9">
        <w:rPr>
          <w:color w:val="1A1A1A"/>
          <w:szCs w:val="21"/>
        </w:rPr>
        <w:t>Gustavo Marques Bandeira</w:t>
      </w:r>
      <w:r w:rsidRPr="00AF39C9">
        <w:rPr>
          <w:color w:val="1A1A1A"/>
          <w:szCs w:val="21"/>
          <w:vertAlign w:val="superscript"/>
        </w:rPr>
        <w:t>1</w:t>
      </w:r>
      <w:r w:rsidRPr="00AF39C9">
        <w:rPr>
          <w:szCs w:val="21"/>
        </w:rPr>
        <w:br/>
      </w:r>
      <w:r w:rsidRPr="00AF39C9">
        <w:rPr>
          <w:color w:val="1A1A1A"/>
          <w:szCs w:val="21"/>
        </w:rPr>
        <w:t>Claiane Vitória Teza</w:t>
      </w:r>
      <w:r w:rsidRPr="00AF39C9">
        <w:rPr>
          <w:color w:val="1A1A1A"/>
          <w:szCs w:val="21"/>
          <w:vertAlign w:val="superscript"/>
        </w:rPr>
        <w:t>5</w:t>
      </w:r>
    </w:p>
    <w:p w:rsidR="000B5910" w:rsidRDefault="00057F5C">
      <w:pPr>
        <w:spacing w:before="200" w:after="100"/>
        <w:rPr>
          <w:sz w:val="22"/>
          <w:szCs w:val="24"/>
        </w:rPr>
      </w:pPr>
      <w:r>
        <w:rPr>
          <w:b/>
          <w:color w:val="1A1A1A"/>
          <w:sz w:val="22"/>
          <w:szCs w:val="24"/>
        </w:rPr>
        <w:t>RESUMO</w:t>
      </w:r>
    </w:p>
    <w:p w:rsidR="000B5910" w:rsidRPr="00AF39C9" w:rsidRDefault="00057F5C">
      <w:pPr>
        <w:spacing w:after="80" w:line="264" w:lineRule="auto"/>
        <w:jc w:val="both"/>
        <w:rPr>
          <w:sz w:val="22"/>
          <w:szCs w:val="21"/>
        </w:rPr>
      </w:pPr>
      <w:r w:rsidRPr="00AF39C9">
        <w:rPr>
          <w:b/>
          <w:color w:val="1A1A1A"/>
          <w:sz w:val="22"/>
          <w:szCs w:val="21"/>
        </w:rPr>
        <w:t>Introdução:</w:t>
      </w:r>
      <w:r w:rsidRPr="00AF39C9">
        <w:rPr>
          <w:color w:val="1A1A1A"/>
          <w:sz w:val="22"/>
          <w:szCs w:val="21"/>
        </w:rPr>
        <w:t xml:space="preserve"> A introdução dos agonistas do receptor do peptídeo semelhante ao glucagon um e do polipeptídeo insulinotrópico dependente de glicose representou um marco no tratamento da obesidade e do diabetes tipo 2. Ao atuarem em sistemas neuroendócrinos que regulam a saciedade, apresentaram alta eficácia clínica. Contudo, a pressão social por emagrecimento rápido impulsionou o crescimento exponencial no uso dessas substâncias, muitas vezes de forma inadequada. Esse cenário acende alertas sobre a segurança a longo prazo, uma vez que o uso desses fármacos está associado </w:t>
      </w:r>
      <w:proofErr w:type="gramStart"/>
      <w:r w:rsidRPr="00AF39C9">
        <w:rPr>
          <w:color w:val="1A1A1A"/>
          <w:sz w:val="22"/>
          <w:szCs w:val="21"/>
        </w:rPr>
        <w:t>a</w:t>
      </w:r>
      <w:proofErr w:type="gramEnd"/>
      <w:r w:rsidRPr="00AF39C9">
        <w:rPr>
          <w:color w:val="1A1A1A"/>
          <w:sz w:val="22"/>
          <w:szCs w:val="21"/>
        </w:rPr>
        <w:t xml:space="preserve"> efeitos adversos e complicações graves, como a pancreatite. </w:t>
      </w:r>
      <w:proofErr w:type="gramStart"/>
      <w:r w:rsidRPr="00AF39C9">
        <w:rPr>
          <w:color w:val="1A1A1A"/>
          <w:sz w:val="22"/>
          <w:szCs w:val="21"/>
        </w:rPr>
        <w:t>A</w:t>
      </w:r>
      <w:proofErr w:type="gramEnd"/>
      <w:r w:rsidRPr="00AF39C9">
        <w:rPr>
          <w:color w:val="1A1A1A"/>
          <w:sz w:val="22"/>
          <w:szCs w:val="21"/>
        </w:rPr>
        <w:t xml:space="preserve"> análise da incidência dessa condição entre 2020 e 2025 é essencial para compreender os riscos desta nova era farmacológica. </w:t>
      </w:r>
      <w:r w:rsidRPr="00AF39C9">
        <w:rPr>
          <w:b/>
          <w:color w:val="1A1A1A"/>
          <w:sz w:val="22"/>
          <w:szCs w:val="21"/>
        </w:rPr>
        <w:t>Objetivo:</w:t>
      </w:r>
      <w:r w:rsidRPr="00AF39C9">
        <w:rPr>
          <w:color w:val="1A1A1A"/>
          <w:sz w:val="22"/>
          <w:szCs w:val="21"/>
        </w:rPr>
        <w:t xml:space="preserve"> Analisar a frequência de relatos de pancreatite associada ao uso de análogos de incretinas entre 2020 e 2025, verificando a distribuição dos casos por sexo. </w:t>
      </w:r>
      <w:r w:rsidRPr="00AF39C9">
        <w:rPr>
          <w:b/>
          <w:color w:val="1A1A1A"/>
          <w:sz w:val="22"/>
          <w:szCs w:val="21"/>
        </w:rPr>
        <w:t>Métodos:</w:t>
      </w:r>
      <w:r w:rsidRPr="00AF39C9">
        <w:rPr>
          <w:color w:val="1A1A1A"/>
          <w:sz w:val="22"/>
          <w:szCs w:val="21"/>
        </w:rPr>
        <w:t xml:space="preserve"> Estudo transversal ecológico realizado com dados secundários de notificações de farmacovigilância da Agência Nacional de Vigilância Sanitária. Foram analisados casos de pancreatite associados ao uso de semaglutida, tirzepatida e seus nomes comerciais correspondentes (Moujaro e Ozempic) no período de 2020 a 2025, por sexo e ocorrência de hospitalização. </w:t>
      </w:r>
      <w:r w:rsidRPr="00AF39C9">
        <w:rPr>
          <w:b/>
          <w:color w:val="1A1A1A"/>
          <w:sz w:val="22"/>
          <w:szCs w:val="21"/>
        </w:rPr>
        <w:t xml:space="preserve">Resultados: </w:t>
      </w:r>
      <w:r w:rsidRPr="00AF39C9">
        <w:rPr>
          <w:color w:val="1A1A1A"/>
          <w:sz w:val="22"/>
          <w:szCs w:val="21"/>
        </w:rPr>
        <w:t xml:space="preserve">Registraram-se 65 casos de pancreatite no período. Observou-se crescimento progressivo dos registros, passando de 9 casos em 2021 para 20 casos em 2025, com aumento expressivo a partir de 2023, coincidindo com a maior popularização desses fármacos. A distribuição por sexo demonstrou predomínio feminino, com 43 casos (66,1%), enquanto o masculino apresentou 22 registros (33,9%). Em 2025, mantendo a tendência, foram 14 casos em mulheres e 6 em homens. Quanto à gravidade, identificou-se 1 hospitalização em 2024 em paciente masculino. Os achados evidenciam aumento recente dos relatos e reforçam a necessidade de monitoramento contínuo. </w:t>
      </w:r>
      <w:r w:rsidRPr="00AF39C9">
        <w:rPr>
          <w:b/>
          <w:color w:val="1A1A1A"/>
          <w:sz w:val="22"/>
          <w:szCs w:val="21"/>
        </w:rPr>
        <w:t xml:space="preserve">Conclusão: </w:t>
      </w:r>
      <w:r w:rsidRPr="00AF39C9">
        <w:rPr>
          <w:color w:val="1A1A1A"/>
          <w:sz w:val="22"/>
          <w:szCs w:val="21"/>
        </w:rPr>
        <w:t xml:space="preserve">Os dados revelam correlação temporal entre a popularização dos análogos de incretinas e o aumento expressivo de pancreatite após 2023. O predomínio feminino levanta discussões sobre o uso influenciado por pressões estéticas. Embora a hospitalização seja rara, a gravidade potencial da complicação exige vigilância farmacológica rigorosa. </w:t>
      </w:r>
      <w:proofErr w:type="gramStart"/>
      <w:r w:rsidRPr="00AF39C9">
        <w:rPr>
          <w:color w:val="1A1A1A"/>
          <w:sz w:val="22"/>
          <w:szCs w:val="21"/>
        </w:rPr>
        <w:t>A</w:t>
      </w:r>
      <w:proofErr w:type="gramEnd"/>
      <w:r w:rsidRPr="00AF39C9">
        <w:rPr>
          <w:color w:val="1A1A1A"/>
          <w:sz w:val="22"/>
          <w:szCs w:val="21"/>
        </w:rPr>
        <w:t xml:space="preserve"> anamnese detalhada e o monitoramento de sintomas abdominais são pilares indispensáveis para garantir que a eficácia dessas terapias seja acompanhada por segurança robusta baseada em evidências. </w:t>
      </w:r>
    </w:p>
    <w:p w:rsidR="000B5910" w:rsidRDefault="000B5910">
      <w:pPr>
        <w:pBdr>
          <w:bottom w:val="single" w:sz="4" w:space="2" w:color="808080"/>
        </w:pBdr>
        <w:spacing w:before="120" w:after="40"/>
      </w:pPr>
    </w:p>
    <w:p w:rsidR="000B5910" w:rsidRPr="00AF39C9" w:rsidRDefault="00057F5C">
      <w:pPr>
        <w:spacing w:after="0" w:line="252" w:lineRule="auto"/>
        <w:rPr>
          <w:sz w:val="16"/>
          <w:szCs w:val="16"/>
        </w:rPr>
      </w:pPr>
      <w:r w:rsidRPr="00AF39C9">
        <w:rPr>
          <w:color w:val="595959"/>
          <w:sz w:val="16"/>
          <w:szCs w:val="16"/>
          <w:vertAlign w:val="superscript"/>
        </w:rPr>
        <w:t>1</w:t>
      </w:r>
      <w:r w:rsidRPr="00AF39C9">
        <w:rPr>
          <w:color w:val="595959"/>
          <w:sz w:val="16"/>
          <w:szCs w:val="16"/>
        </w:rPr>
        <w:t xml:space="preserve"> Universidade do Vale do Rio dos Sinos (UNISINOS</w:t>
      </w:r>
    </w:p>
    <w:p w:rsidR="000B5910" w:rsidRPr="00AF39C9" w:rsidRDefault="00057F5C">
      <w:pPr>
        <w:spacing w:after="0" w:line="252" w:lineRule="auto"/>
        <w:rPr>
          <w:sz w:val="16"/>
          <w:szCs w:val="16"/>
        </w:rPr>
      </w:pPr>
      <w:r w:rsidRPr="00AF39C9">
        <w:rPr>
          <w:color w:val="595959"/>
          <w:sz w:val="16"/>
          <w:szCs w:val="16"/>
          <w:vertAlign w:val="superscript"/>
        </w:rPr>
        <w:t>2</w:t>
      </w:r>
      <w:r w:rsidRPr="00AF39C9">
        <w:rPr>
          <w:color w:val="595959"/>
          <w:sz w:val="16"/>
          <w:szCs w:val="16"/>
        </w:rPr>
        <w:t xml:space="preserve"> Universidade Feevale</w:t>
      </w:r>
    </w:p>
    <w:p w:rsidR="000B5910" w:rsidRPr="00AF39C9" w:rsidRDefault="00057F5C">
      <w:pPr>
        <w:spacing w:after="0" w:line="252" w:lineRule="auto"/>
        <w:rPr>
          <w:sz w:val="16"/>
          <w:szCs w:val="16"/>
        </w:rPr>
      </w:pPr>
      <w:r w:rsidRPr="00AF39C9">
        <w:rPr>
          <w:color w:val="595959"/>
          <w:sz w:val="16"/>
          <w:szCs w:val="16"/>
          <w:vertAlign w:val="superscript"/>
        </w:rPr>
        <w:t>3</w:t>
      </w:r>
      <w:r w:rsidRPr="00AF39C9">
        <w:rPr>
          <w:color w:val="595959"/>
          <w:sz w:val="16"/>
          <w:szCs w:val="16"/>
        </w:rPr>
        <w:t xml:space="preserve"> Universidade Luterana do Brasil (ULBRA</w:t>
      </w:r>
    </w:p>
    <w:p w:rsidR="000B5910" w:rsidRPr="00AF39C9" w:rsidRDefault="00057F5C">
      <w:pPr>
        <w:spacing w:after="0" w:line="252" w:lineRule="auto"/>
        <w:rPr>
          <w:sz w:val="16"/>
          <w:szCs w:val="16"/>
        </w:rPr>
      </w:pPr>
      <w:r w:rsidRPr="00AF39C9">
        <w:rPr>
          <w:color w:val="595959"/>
          <w:sz w:val="16"/>
          <w:szCs w:val="16"/>
          <w:vertAlign w:val="superscript"/>
        </w:rPr>
        <w:t>4</w:t>
      </w:r>
      <w:r w:rsidRPr="00AF39C9">
        <w:rPr>
          <w:color w:val="595959"/>
          <w:sz w:val="16"/>
          <w:szCs w:val="16"/>
        </w:rPr>
        <w:t xml:space="preserve"> Universidade Federal de Ciências da Saúde de Porto Alegre (UFCSPA</w:t>
      </w:r>
    </w:p>
    <w:p w:rsidR="000B5910" w:rsidRPr="00AF39C9" w:rsidRDefault="00057F5C">
      <w:pPr>
        <w:spacing w:after="0" w:line="252" w:lineRule="auto"/>
        <w:rPr>
          <w:sz w:val="16"/>
          <w:szCs w:val="16"/>
        </w:rPr>
      </w:pPr>
      <w:r w:rsidRPr="00AF39C9">
        <w:rPr>
          <w:color w:val="595959"/>
          <w:sz w:val="16"/>
          <w:szCs w:val="16"/>
          <w:vertAlign w:val="superscript"/>
        </w:rPr>
        <w:t>5</w:t>
      </w:r>
      <w:r w:rsidRPr="00AF39C9">
        <w:rPr>
          <w:color w:val="595959"/>
          <w:sz w:val="16"/>
          <w:szCs w:val="16"/>
        </w:rPr>
        <w:t xml:space="preserve"> Pontifícia Universidade Católica do Rio Grande do Sul (PUCRS</w:t>
      </w:r>
    </w:p>
    <w:p w:rsidR="000B5910" w:rsidRDefault="000B5910">
      <w:pPr>
        <w:sectPr w:rsidR="000B5910">
          <w:headerReference w:type="default" r:id="rId69"/>
          <w:footerReference w:type="default" r:id="rId7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INCIDÊNCIA, GRAVIDADE E DESCONTINUAÇÃO DO TRATAMENTO POR EVENTOS ADVERSOS GASTROINTESTINAIS ASSOCIADOS AOS ANÁLOGOS DO RECEPTOR DE GLP-1 NO TRATAMENTO DO DIABETES MELLITUS TIPO 2: REVISÃO SISTEMÁTICA</w:t>
      </w:r>
    </w:p>
    <w:p w:rsidR="000B5910" w:rsidRPr="00AF39C9" w:rsidRDefault="00057F5C">
      <w:pPr>
        <w:spacing w:after="40" w:line="252" w:lineRule="auto"/>
        <w:jc w:val="right"/>
        <w:rPr>
          <w:sz w:val="16"/>
          <w:szCs w:val="16"/>
        </w:rPr>
      </w:pPr>
      <w:r w:rsidRPr="00AF39C9">
        <w:rPr>
          <w:color w:val="1A1A1A"/>
          <w:sz w:val="16"/>
          <w:szCs w:val="16"/>
        </w:rPr>
        <w:t>Mariana Prieto Barbosa</w:t>
      </w:r>
      <w:r w:rsidRPr="00AF39C9">
        <w:rPr>
          <w:color w:val="1A1A1A"/>
          <w:sz w:val="16"/>
          <w:szCs w:val="16"/>
          <w:vertAlign w:val="superscript"/>
        </w:rPr>
        <w:t>1</w:t>
      </w:r>
      <w:r w:rsidRPr="00AF39C9">
        <w:rPr>
          <w:sz w:val="16"/>
          <w:szCs w:val="16"/>
        </w:rPr>
        <w:br/>
      </w:r>
      <w:r w:rsidRPr="00AF39C9">
        <w:rPr>
          <w:color w:val="1A1A1A"/>
          <w:sz w:val="16"/>
          <w:szCs w:val="16"/>
        </w:rPr>
        <w:t>Izadora Dotta Rieder</w:t>
      </w:r>
      <w:r w:rsidRPr="00AF39C9">
        <w:rPr>
          <w:color w:val="1A1A1A"/>
          <w:sz w:val="16"/>
          <w:szCs w:val="16"/>
          <w:vertAlign w:val="superscript"/>
        </w:rPr>
        <w:t>1</w:t>
      </w:r>
      <w:r w:rsidRPr="00AF39C9">
        <w:rPr>
          <w:sz w:val="16"/>
          <w:szCs w:val="16"/>
        </w:rPr>
        <w:br/>
      </w:r>
      <w:r w:rsidRPr="00AF39C9">
        <w:rPr>
          <w:color w:val="1A1A1A"/>
          <w:sz w:val="16"/>
          <w:szCs w:val="16"/>
        </w:rPr>
        <w:t>Aline Satie Oba Kuniyoshi</w:t>
      </w:r>
      <w:r w:rsidRPr="00AF39C9">
        <w:rPr>
          <w:color w:val="1A1A1A"/>
          <w:sz w:val="16"/>
          <w:szCs w:val="16"/>
          <w:vertAlign w:val="superscript"/>
        </w:rPr>
        <w:t>2</w:t>
      </w:r>
    </w:p>
    <w:p w:rsidR="000B5910" w:rsidRDefault="00057F5C">
      <w:pPr>
        <w:spacing w:before="240" w:after="100"/>
      </w:pPr>
      <w:r>
        <w:rPr>
          <w:b/>
          <w:color w:val="1A1A1A"/>
          <w:sz w:val="22"/>
        </w:rPr>
        <w:t>RESUMO</w:t>
      </w:r>
    </w:p>
    <w:p w:rsidR="000B5910" w:rsidRPr="00AF39C9" w:rsidRDefault="00057F5C">
      <w:pPr>
        <w:spacing w:after="80"/>
        <w:jc w:val="both"/>
        <w:rPr>
          <w:sz w:val="22"/>
        </w:rPr>
      </w:pPr>
      <w:r w:rsidRPr="00AF39C9">
        <w:rPr>
          <w:b/>
          <w:color w:val="1A1A1A"/>
          <w:sz w:val="22"/>
        </w:rPr>
        <w:t xml:space="preserve">Introdução: </w:t>
      </w:r>
      <w:r w:rsidRPr="00AF39C9">
        <w:rPr>
          <w:color w:val="1A1A1A"/>
          <w:sz w:val="22"/>
        </w:rPr>
        <w:t>Os agonistas do receptor de GLP-1 consolidaram-se como importante estratégia terapêutica no tratamento do diabetes mellitus tipo 2, promovendo melhora significativa do controle glicêmico, perda de peso e redução do risco cardiovascular. Entretanto, eventos adversos gastrointestinais, como náusea, diarreia e vômito, são frequentemente relatados e podem influenciar a tolerabilidade e a continuidade do tratamento. A compreensão da incidência e da gravidade desses eventos, bem como do seu impacto na descontinuação terapêutica, é relevante para a tomada de decisão clínica.</w:t>
      </w:r>
      <w:r w:rsidRPr="00AF39C9">
        <w:rPr>
          <w:b/>
          <w:color w:val="1A1A1A"/>
          <w:sz w:val="22"/>
        </w:rPr>
        <w:t xml:space="preserve"> Objetivo:</w:t>
      </w:r>
      <w:r w:rsidRPr="00AF39C9">
        <w:rPr>
          <w:color w:val="1A1A1A"/>
          <w:sz w:val="22"/>
        </w:rPr>
        <w:t xml:space="preserve"> Avaliar a incidência, a gravidade e a descontinuação do tratamento associadas </w:t>
      </w:r>
      <w:proofErr w:type="gramStart"/>
      <w:r w:rsidRPr="00AF39C9">
        <w:rPr>
          <w:color w:val="1A1A1A"/>
          <w:sz w:val="22"/>
        </w:rPr>
        <w:t>a</w:t>
      </w:r>
      <w:proofErr w:type="gramEnd"/>
      <w:r w:rsidRPr="00AF39C9">
        <w:rPr>
          <w:color w:val="1A1A1A"/>
          <w:sz w:val="22"/>
        </w:rPr>
        <w:t xml:space="preserve"> eventos adversos gastrointestinais relacionados ao uso de agonistas do receptor de GLP-1 em pacientes com diabetes mellitus tipo 2.</w:t>
      </w:r>
      <w:r w:rsidRPr="00AF39C9">
        <w:rPr>
          <w:b/>
          <w:color w:val="1A1A1A"/>
          <w:sz w:val="22"/>
        </w:rPr>
        <w:t xml:space="preserve"> Métodos: </w:t>
      </w:r>
      <w:r w:rsidRPr="00AF39C9">
        <w:rPr>
          <w:color w:val="1A1A1A"/>
          <w:sz w:val="22"/>
        </w:rPr>
        <w:t>Realizou-se revisão sistemática conduzida de acordo com as recomendações PRISMA 2020. Foram incluídos ensaios clínicos randomizados que avaliaram agonistas do receptor de GLP-1 em adultos com diabetes mellitus tipo 2 e que relataram eventos adversos gastrointestinais. A busca em bases de dados científicas identificou 81 registros. Após remoção de duplicatas e triagem por título e resumo, 48 estudos foram avaliados em texto completo. Destes, nove preencheram os critérios de elegibilidade e foram incluídos na síntese qualitativa.</w:t>
      </w:r>
      <w:r w:rsidRPr="00AF39C9">
        <w:rPr>
          <w:b/>
          <w:color w:val="1A1A1A"/>
          <w:sz w:val="22"/>
        </w:rPr>
        <w:t xml:space="preserve"> Resultados: </w:t>
      </w:r>
      <w:r w:rsidRPr="00AF39C9">
        <w:rPr>
          <w:color w:val="1A1A1A"/>
          <w:sz w:val="22"/>
        </w:rPr>
        <w:t xml:space="preserve">Os nove ensaios clínicos incluídos totalizaram aproximadamente 5.402 participantes, com seguimento entre 24 e 52 semanas. A incidência de náusea variou conforme o medicamento avaliado, sendo em média cerca de 10% com dulaglutida, aproximadamente 18% com semaglutida e até 20% com tirzepatida. A diarreia ocorreu em média entre 12% e 14% dos pacientes, enquanto o vômito apresentou frequência inferior </w:t>
      </w:r>
      <w:proofErr w:type="gramStart"/>
      <w:r w:rsidRPr="00AF39C9">
        <w:rPr>
          <w:color w:val="1A1A1A"/>
          <w:sz w:val="22"/>
        </w:rPr>
        <w:t>a</w:t>
      </w:r>
      <w:proofErr w:type="gramEnd"/>
      <w:r w:rsidRPr="00AF39C9">
        <w:rPr>
          <w:color w:val="1A1A1A"/>
          <w:sz w:val="22"/>
        </w:rPr>
        <w:t xml:space="preserve"> 8% na maioria dos estudos. Apesar da ocorrência relativamente frequente de sintomas gastrointestinais, a </w:t>
      </w:r>
      <w:proofErr w:type="gramStart"/>
      <w:r w:rsidRPr="00AF39C9">
        <w:rPr>
          <w:color w:val="1A1A1A"/>
          <w:sz w:val="22"/>
        </w:rPr>
        <w:t>taxa</w:t>
      </w:r>
      <w:proofErr w:type="gramEnd"/>
      <w:r w:rsidRPr="00AF39C9">
        <w:rPr>
          <w:color w:val="1A1A1A"/>
          <w:sz w:val="22"/>
        </w:rPr>
        <w:t xml:space="preserve"> de descontinuação do tratamento permaneceu baixa, geralmente inferior a 8%. Observou-se ainda que a maioria dos eventos ocorreu nas primeiras semanas de tratamento, com redução progressiva ao longo do tempo.</w:t>
      </w:r>
      <w:r w:rsidRPr="00AF39C9">
        <w:rPr>
          <w:b/>
          <w:color w:val="1A1A1A"/>
          <w:sz w:val="22"/>
        </w:rPr>
        <w:t xml:space="preserve"> Conclusão:</w:t>
      </w:r>
      <w:r w:rsidRPr="00AF39C9">
        <w:rPr>
          <w:color w:val="1A1A1A"/>
          <w:sz w:val="22"/>
        </w:rPr>
        <w:t xml:space="preserve"> Eventos adversos gastrointestinais associados aos agonistas do receptor de GLP-1 são relativamente frequentes, porém predominantemente leves a moderados, transitórios e raramente levam à interrupção do tratamento. Esses achados reforçam o perfil favorável de benefício-risco dessa classe terapêutica no manejo do diabetes mellitus tipo 2.</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unicesumar</w:t>
      </w:r>
    </w:p>
    <w:p w:rsidR="000B5910" w:rsidRDefault="00057F5C">
      <w:pPr>
        <w:spacing w:after="0" w:line="252" w:lineRule="auto"/>
      </w:pPr>
      <w:r>
        <w:rPr>
          <w:color w:val="595959"/>
          <w:sz w:val="13"/>
          <w:vertAlign w:val="superscript"/>
        </w:rPr>
        <w:t>2</w:t>
      </w:r>
      <w:r>
        <w:rPr>
          <w:color w:val="595959"/>
          <w:sz w:val="17"/>
        </w:rPr>
        <w:t xml:space="preserve"> Unicesumar</w:t>
      </w:r>
    </w:p>
    <w:p w:rsidR="000B5910" w:rsidRDefault="000B5910">
      <w:pPr>
        <w:sectPr w:rsidR="000B5910">
          <w:headerReference w:type="default" r:id="rId71"/>
          <w:footerReference w:type="default" r:id="rId72"/>
          <w:pgSz w:w="12240" w:h="15840"/>
          <w:pgMar w:top="1417" w:right="1417" w:bottom="1417" w:left="1417" w:header="680" w:footer="680" w:gutter="0"/>
          <w:cols w:space="720"/>
        </w:sectPr>
      </w:pPr>
    </w:p>
    <w:p w:rsidR="000B5910" w:rsidRDefault="00057F5C">
      <w:pPr>
        <w:spacing w:before="80" w:line="252" w:lineRule="auto"/>
        <w:jc w:val="center"/>
        <w:rPr>
          <w:spacing w:val="-11"/>
          <w:sz w:val="22"/>
          <w:szCs w:val="24"/>
        </w:rPr>
      </w:pPr>
      <w:r>
        <w:rPr>
          <w:b/>
          <w:color w:val="1A1A1A"/>
          <w:spacing w:val="-11"/>
          <w:sz w:val="28"/>
          <w:szCs w:val="24"/>
        </w:rPr>
        <w:lastRenderedPageBreak/>
        <w:t>ENTRE PERCEPÇÃO E EVIDÊNCIA: AVALIAÇÃO DE DECLÍNIO COGNITIVO EM PACIENTES COM DIABETES MELLITUS TIPO 2 EM UM HOSPITAL TERCIÁRIO REFERÊNCIA NO NORTE DO RIO GRANDE DO SUL</w:t>
      </w:r>
    </w:p>
    <w:p w:rsidR="000B5910" w:rsidRPr="00F74578" w:rsidRDefault="00057F5C">
      <w:pPr>
        <w:spacing w:after="40" w:line="252" w:lineRule="auto"/>
        <w:jc w:val="right"/>
        <w:rPr>
          <w:sz w:val="20"/>
          <w:szCs w:val="20"/>
        </w:rPr>
      </w:pPr>
      <w:r w:rsidRPr="00F74578">
        <w:rPr>
          <w:color w:val="1A1A1A"/>
          <w:sz w:val="20"/>
          <w:szCs w:val="20"/>
        </w:rPr>
        <w:t>Andressa da Rosa Schein</w:t>
      </w:r>
      <w:r w:rsidRPr="00F74578">
        <w:rPr>
          <w:color w:val="1A1A1A"/>
          <w:sz w:val="20"/>
          <w:szCs w:val="20"/>
          <w:vertAlign w:val="superscript"/>
        </w:rPr>
        <w:t>1</w:t>
      </w:r>
      <w:r w:rsidRPr="00F74578">
        <w:rPr>
          <w:sz w:val="20"/>
          <w:szCs w:val="20"/>
        </w:rPr>
        <w:br/>
      </w:r>
      <w:r w:rsidRPr="00F74578">
        <w:rPr>
          <w:color w:val="1A1A1A"/>
          <w:sz w:val="20"/>
          <w:szCs w:val="20"/>
        </w:rPr>
        <w:t>Ana Laura Rossato Rubin</w:t>
      </w:r>
      <w:r w:rsidRPr="00F74578">
        <w:rPr>
          <w:color w:val="1A1A1A"/>
          <w:sz w:val="20"/>
          <w:szCs w:val="20"/>
          <w:vertAlign w:val="superscript"/>
        </w:rPr>
        <w:t>1</w:t>
      </w:r>
      <w:r w:rsidRPr="00F74578">
        <w:rPr>
          <w:sz w:val="20"/>
          <w:szCs w:val="20"/>
        </w:rPr>
        <w:br/>
      </w:r>
      <w:r w:rsidRPr="00F74578">
        <w:rPr>
          <w:color w:val="1A1A1A"/>
          <w:sz w:val="20"/>
          <w:szCs w:val="20"/>
        </w:rPr>
        <w:t>Arthur Chiodelli</w:t>
      </w:r>
      <w:r w:rsidRPr="00F74578">
        <w:rPr>
          <w:color w:val="1A1A1A"/>
          <w:sz w:val="20"/>
          <w:szCs w:val="20"/>
          <w:vertAlign w:val="superscript"/>
        </w:rPr>
        <w:t>1</w:t>
      </w:r>
      <w:r w:rsidRPr="00F74578">
        <w:rPr>
          <w:sz w:val="20"/>
          <w:szCs w:val="20"/>
        </w:rPr>
        <w:br/>
      </w:r>
      <w:r w:rsidRPr="00F74578">
        <w:rPr>
          <w:color w:val="1A1A1A"/>
          <w:sz w:val="20"/>
          <w:szCs w:val="20"/>
        </w:rPr>
        <w:t>Bianca Pizetta Holz</w:t>
      </w:r>
      <w:r w:rsidRPr="00F74578">
        <w:rPr>
          <w:color w:val="1A1A1A"/>
          <w:sz w:val="20"/>
          <w:szCs w:val="20"/>
          <w:vertAlign w:val="superscript"/>
        </w:rPr>
        <w:t>1</w:t>
      </w:r>
      <w:r w:rsidRPr="00F74578">
        <w:rPr>
          <w:sz w:val="20"/>
          <w:szCs w:val="20"/>
        </w:rPr>
        <w:br/>
      </w:r>
      <w:r w:rsidRPr="00F74578">
        <w:rPr>
          <w:color w:val="1A1A1A"/>
          <w:sz w:val="20"/>
          <w:szCs w:val="20"/>
        </w:rPr>
        <w:t>Carla Guerra Brugnera</w:t>
      </w:r>
      <w:r w:rsidRPr="00F74578">
        <w:rPr>
          <w:color w:val="1A1A1A"/>
          <w:sz w:val="20"/>
          <w:szCs w:val="20"/>
          <w:vertAlign w:val="superscript"/>
        </w:rPr>
        <w:t>1</w:t>
      </w:r>
      <w:r w:rsidRPr="00F74578">
        <w:rPr>
          <w:sz w:val="20"/>
          <w:szCs w:val="20"/>
        </w:rPr>
        <w:br/>
      </w:r>
      <w:r w:rsidRPr="00F74578">
        <w:rPr>
          <w:color w:val="1A1A1A"/>
          <w:sz w:val="20"/>
          <w:szCs w:val="20"/>
        </w:rPr>
        <w:t>Daniela Travi Cenci</w:t>
      </w:r>
      <w:r w:rsidRPr="00F74578">
        <w:rPr>
          <w:color w:val="1A1A1A"/>
          <w:sz w:val="20"/>
          <w:szCs w:val="20"/>
          <w:vertAlign w:val="superscript"/>
        </w:rPr>
        <w:t>1</w:t>
      </w:r>
      <w:r w:rsidRPr="00F74578">
        <w:rPr>
          <w:sz w:val="20"/>
          <w:szCs w:val="20"/>
        </w:rPr>
        <w:br/>
      </w:r>
      <w:r w:rsidRPr="00F74578">
        <w:rPr>
          <w:color w:val="1A1A1A"/>
          <w:sz w:val="20"/>
          <w:szCs w:val="20"/>
        </w:rPr>
        <w:t>Gabriela Machado Lausmann</w:t>
      </w:r>
      <w:r w:rsidRPr="00F74578">
        <w:rPr>
          <w:color w:val="1A1A1A"/>
          <w:sz w:val="20"/>
          <w:szCs w:val="20"/>
          <w:vertAlign w:val="superscript"/>
        </w:rPr>
        <w:t>1</w:t>
      </w:r>
      <w:r w:rsidRPr="00F74578">
        <w:rPr>
          <w:sz w:val="20"/>
          <w:szCs w:val="20"/>
        </w:rPr>
        <w:br/>
      </w:r>
      <w:r w:rsidRPr="00F74578">
        <w:rPr>
          <w:color w:val="1A1A1A"/>
          <w:sz w:val="20"/>
          <w:szCs w:val="20"/>
        </w:rPr>
        <w:t>Évelyn Carvalho Rodrigues</w:t>
      </w:r>
      <w:r w:rsidRPr="00F74578">
        <w:rPr>
          <w:color w:val="1A1A1A"/>
          <w:sz w:val="20"/>
          <w:szCs w:val="20"/>
          <w:vertAlign w:val="superscript"/>
        </w:rPr>
        <w:t>1</w:t>
      </w:r>
      <w:r w:rsidRPr="00F74578">
        <w:rPr>
          <w:sz w:val="20"/>
          <w:szCs w:val="20"/>
        </w:rPr>
        <w:br/>
      </w:r>
      <w:r w:rsidRPr="00F74578">
        <w:rPr>
          <w:color w:val="1A1A1A"/>
          <w:sz w:val="20"/>
          <w:szCs w:val="20"/>
        </w:rPr>
        <w:t>Mauricio Konig Luz</w:t>
      </w:r>
      <w:r w:rsidRPr="00F74578">
        <w:rPr>
          <w:color w:val="1A1A1A"/>
          <w:sz w:val="20"/>
          <w:szCs w:val="20"/>
          <w:vertAlign w:val="superscript"/>
        </w:rPr>
        <w:t>1</w:t>
      </w:r>
      <w:r w:rsidRPr="00F74578">
        <w:rPr>
          <w:sz w:val="20"/>
          <w:szCs w:val="20"/>
        </w:rPr>
        <w:br/>
      </w:r>
      <w:r w:rsidRPr="00F74578">
        <w:rPr>
          <w:color w:val="1A1A1A"/>
          <w:sz w:val="20"/>
          <w:szCs w:val="20"/>
        </w:rPr>
        <w:t>Yasmin Franco dos Santos</w:t>
      </w:r>
      <w:r w:rsidRPr="00F74578">
        <w:rPr>
          <w:color w:val="1A1A1A"/>
          <w:sz w:val="20"/>
          <w:szCs w:val="20"/>
          <w:vertAlign w:val="superscript"/>
        </w:rPr>
        <w:t>1</w:t>
      </w:r>
      <w:r w:rsidRPr="00F74578">
        <w:rPr>
          <w:sz w:val="20"/>
          <w:szCs w:val="20"/>
        </w:rPr>
        <w:br/>
      </w:r>
      <w:r w:rsidRPr="00F74578">
        <w:rPr>
          <w:color w:val="1A1A1A"/>
          <w:sz w:val="20"/>
          <w:szCs w:val="20"/>
        </w:rPr>
        <w:t>Georgia Chichelero</w:t>
      </w:r>
      <w:r w:rsidRPr="00F74578">
        <w:rPr>
          <w:color w:val="1A1A1A"/>
          <w:sz w:val="20"/>
          <w:szCs w:val="20"/>
          <w:vertAlign w:val="superscript"/>
        </w:rPr>
        <w:t>1</w:t>
      </w:r>
    </w:p>
    <w:p w:rsidR="000B5910" w:rsidRDefault="00057F5C">
      <w:pPr>
        <w:spacing w:before="200" w:after="100"/>
        <w:rPr>
          <w:sz w:val="22"/>
          <w:szCs w:val="24"/>
        </w:rPr>
      </w:pPr>
      <w:r>
        <w:rPr>
          <w:b/>
          <w:color w:val="1A1A1A"/>
          <w:sz w:val="22"/>
          <w:szCs w:val="24"/>
        </w:rPr>
        <w:t>RESUMO</w:t>
      </w:r>
    </w:p>
    <w:p w:rsidR="000B5910" w:rsidRPr="00F74578" w:rsidRDefault="00057F5C">
      <w:pPr>
        <w:spacing w:after="80" w:line="264" w:lineRule="auto"/>
        <w:jc w:val="both"/>
        <w:rPr>
          <w:sz w:val="22"/>
          <w:szCs w:val="21"/>
        </w:rPr>
      </w:pPr>
      <w:r w:rsidRPr="00F74578">
        <w:rPr>
          <w:b/>
          <w:color w:val="1A1A1A"/>
          <w:sz w:val="22"/>
          <w:szCs w:val="21"/>
        </w:rPr>
        <w:t>Introdução:</w:t>
      </w:r>
      <w:r w:rsidRPr="00F74578">
        <w:rPr>
          <w:color w:val="1A1A1A"/>
          <w:sz w:val="22"/>
          <w:szCs w:val="21"/>
        </w:rPr>
        <w:t xml:space="preserve"> O diabetes mellitus tipo 2 (DM2) é uma doença crônica altamente prevalente, associada não apenas a complicações microvasculares e macrovasculares, mas também </w:t>
      </w:r>
      <w:proofErr w:type="gramStart"/>
      <w:r w:rsidRPr="00F74578">
        <w:rPr>
          <w:color w:val="1A1A1A"/>
          <w:sz w:val="22"/>
          <w:szCs w:val="21"/>
        </w:rPr>
        <w:t>a</w:t>
      </w:r>
      <w:proofErr w:type="gramEnd"/>
      <w:r w:rsidRPr="00F74578">
        <w:rPr>
          <w:color w:val="1A1A1A"/>
          <w:sz w:val="22"/>
          <w:szCs w:val="21"/>
        </w:rPr>
        <w:t xml:space="preserve"> alterações cognitivas, incluindo declínio cognitivo e aumento do risco de demência. Mecanismos como hiperglicemia crônica, resistência à insulina e inflamação crônica contribuem para o processo. Embora haja evidências crescentes de associação entre doença e comprometimento cognitivo, </w:t>
      </w:r>
      <w:proofErr w:type="gramStart"/>
      <w:r w:rsidRPr="00F74578">
        <w:rPr>
          <w:color w:val="1A1A1A"/>
          <w:sz w:val="22"/>
          <w:szCs w:val="21"/>
        </w:rPr>
        <w:t>a</w:t>
      </w:r>
      <w:proofErr w:type="gramEnd"/>
      <w:r w:rsidRPr="00F74578">
        <w:rPr>
          <w:color w:val="1A1A1A"/>
          <w:sz w:val="22"/>
          <w:szCs w:val="21"/>
        </w:rPr>
        <w:t xml:space="preserve"> avaliação desse desfecho ainda não é rotina na prática clínica. Assim, </w:t>
      </w:r>
      <w:proofErr w:type="gramStart"/>
      <w:r w:rsidRPr="00F74578">
        <w:rPr>
          <w:color w:val="1A1A1A"/>
          <w:sz w:val="22"/>
          <w:szCs w:val="21"/>
        </w:rPr>
        <w:t>a</w:t>
      </w:r>
      <w:proofErr w:type="gramEnd"/>
      <w:r w:rsidRPr="00F74578">
        <w:rPr>
          <w:color w:val="1A1A1A"/>
          <w:sz w:val="22"/>
          <w:szCs w:val="21"/>
        </w:rPr>
        <w:t xml:space="preserve"> avaliação de variáveis subjetivas e objetivas pode contribuir para a identificação precoce do declínio cognitivo em pacientes com DM2. </w:t>
      </w:r>
      <w:r w:rsidRPr="00F74578">
        <w:rPr>
          <w:b/>
          <w:color w:val="1A1A1A"/>
          <w:sz w:val="22"/>
          <w:szCs w:val="21"/>
        </w:rPr>
        <w:t>Objetivo</w:t>
      </w:r>
      <w:r w:rsidRPr="00F74578">
        <w:rPr>
          <w:color w:val="1A1A1A"/>
          <w:sz w:val="22"/>
          <w:szCs w:val="21"/>
        </w:rPr>
        <w:t xml:space="preserve">: Avaliar a presença de queixas cognitivas em pacientes com DM2 e associação com alterações no desempenho em testes cognitivos. </w:t>
      </w:r>
      <w:r w:rsidRPr="00F74578">
        <w:rPr>
          <w:b/>
          <w:color w:val="1A1A1A"/>
          <w:sz w:val="22"/>
          <w:szCs w:val="21"/>
        </w:rPr>
        <w:t>Métodos:</w:t>
      </w:r>
      <w:r w:rsidRPr="00F74578">
        <w:rPr>
          <w:color w:val="1A1A1A"/>
          <w:sz w:val="22"/>
          <w:szCs w:val="21"/>
        </w:rPr>
        <w:t xml:space="preserve"> Estudo transversal realizado em hospital terciário no norte gaúcho. Foram incluídos pacientes ambulatoriais com diagnóstico de DM2 e idade ≥ 45 anos. Excluíram-se pacientes com condições neurológicas/psiquiátricas graves, déficits impeditivos ou uso de medicações com interferência cognitiva. Os dados foram coletados por entrevista estruturada e acesso ao prontuário eletrônico. </w:t>
      </w:r>
      <w:proofErr w:type="gramStart"/>
      <w:r w:rsidRPr="00F74578">
        <w:rPr>
          <w:color w:val="1A1A1A"/>
          <w:sz w:val="22"/>
          <w:szCs w:val="21"/>
        </w:rPr>
        <w:t>A</w:t>
      </w:r>
      <w:proofErr w:type="gramEnd"/>
      <w:r w:rsidRPr="00F74578">
        <w:rPr>
          <w:color w:val="1A1A1A"/>
          <w:sz w:val="22"/>
          <w:szCs w:val="21"/>
        </w:rPr>
        <w:t xml:space="preserve"> avaliação cognitiva objetiva foi realizada pelos testes Mini Exame do Estado Mental (MEEM) e Mini-Cog. </w:t>
      </w:r>
      <w:r w:rsidRPr="00F74578">
        <w:rPr>
          <w:b/>
          <w:color w:val="1A1A1A"/>
          <w:sz w:val="22"/>
          <w:szCs w:val="21"/>
        </w:rPr>
        <w:t>Resultados:</w:t>
      </w:r>
      <w:r w:rsidRPr="00F74578">
        <w:rPr>
          <w:color w:val="1A1A1A"/>
          <w:sz w:val="22"/>
          <w:szCs w:val="21"/>
        </w:rPr>
        <w:t xml:space="preserve"> Foram avaliados 50 pacientes, sendo 62% mulheres, 87% cor autodeclarada branca e média de idade de 66 ± 9 anos. Em relação às queixas cognitivas, 64% relataram alterações de memória, 28% referiram dificuldade de atenção ou concentração e 10% apresentaram prejuízo em atividades da vida diária por conta da dificuldade de atenção/concentração. Na avaliação cognitiva objetiva, 84% apresentaram pontuação abaixo do esperado no MEEM e 64% tiveram resultados sugestivos ou compatíveis com comprometimento cognitivo no Mini-Cog. Dentre os pacientes com queixa de memória, 90% deles apresentaram alteração em pelo menos um dos testes. Os resultados correspondem a dados preliminares da pesquisa em andamento. </w:t>
      </w:r>
      <w:r w:rsidRPr="00F74578">
        <w:rPr>
          <w:b/>
          <w:color w:val="1A1A1A"/>
          <w:sz w:val="22"/>
          <w:szCs w:val="21"/>
        </w:rPr>
        <w:t xml:space="preserve">Conclusão: </w:t>
      </w:r>
      <w:r w:rsidRPr="00F74578">
        <w:rPr>
          <w:color w:val="1A1A1A"/>
          <w:sz w:val="22"/>
          <w:szCs w:val="21"/>
        </w:rPr>
        <w:t xml:space="preserve">Observou-se elevada frequência de queixas cognitivas em pacientes com DM2. Entretanto, o número de indivíduos com desempenho alterado em testes cognitivos objetivos foi superior ao de pacientes com queixas cognitivas, sugerindo que o comprometimento cognitivo pode estar presente na ausência de sintomas autorreferidos. Mesmo em uma amostra limitada, os achados reforçam </w:t>
      </w:r>
      <w:proofErr w:type="gramStart"/>
      <w:r w:rsidRPr="00F74578">
        <w:rPr>
          <w:color w:val="1A1A1A"/>
          <w:sz w:val="22"/>
          <w:szCs w:val="21"/>
        </w:rPr>
        <w:t>a</w:t>
      </w:r>
      <w:proofErr w:type="gramEnd"/>
      <w:r w:rsidRPr="00F74578">
        <w:rPr>
          <w:color w:val="1A1A1A"/>
          <w:sz w:val="22"/>
          <w:szCs w:val="21"/>
        </w:rPr>
        <w:t xml:space="preserve"> importância da avaliação cognitiva objetiva para a identificação precoce de pacientes em risco.</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de Passo Fundo</w:t>
      </w:r>
    </w:p>
    <w:p w:rsidR="000B5910" w:rsidRDefault="000B5910">
      <w:pPr>
        <w:sectPr w:rsidR="000B5910">
          <w:headerReference w:type="default" r:id="rId73"/>
          <w:footerReference w:type="default" r:id="rId7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TESTES DE TRIAGEM COGNITIVA EM PACIENTES COM DIABETES TIPO 2: QUÃO CONCORDANTES SÃO?</w:t>
      </w:r>
    </w:p>
    <w:p w:rsidR="000B5910" w:rsidRPr="00355D07" w:rsidRDefault="00057F5C">
      <w:pPr>
        <w:spacing w:after="40" w:line="252" w:lineRule="auto"/>
        <w:jc w:val="right"/>
        <w:rPr>
          <w:sz w:val="22"/>
          <w:szCs w:val="21"/>
        </w:rPr>
      </w:pPr>
      <w:r w:rsidRPr="00355D07">
        <w:rPr>
          <w:color w:val="1A1A1A"/>
          <w:sz w:val="22"/>
          <w:szCs w:val="21"/>
        </w:rPr>
        <w:t>Andressa da Rosa Schein</w:t>
      </w:r>
      <w:r w:rsidRPr="00355D07">
        <w:rPr>
          <w:color w:val="1A1A1A"/>
          <w:sz w:val="22"/>
          <w:szCs w:val="21"/>
          <w:vertAlign w:val="superscript"/>
        </w:rPr>
        <w:t>1</w:t>
      </w:r>
      <w:r w:rsidRPr="00355D07">
        <w:rPr>
          <w:sz w:val="22"/>
          <w:szCs w:val="21"/>
        </w:rPr>
        <w:br/>
      </w:r>
      <w:r w:rsidRPr="00355D07">
        <w:rPr>
          <w:color w:val="1A1A1A"/>
          <w:sz w:val="22"/>
          <w:szCs w:val="21"/>
        </w:rPr>
        <w:t>Ana Laura Rossato Rubin</w:t>
      </w:r>
      <w:r w:rsidRPr="00355D07">
        <w:rPr>
          <w:color w:val="1A1A1A"/>
          <w:sz w:val="22"/>
          <w:szCs w:val="21"/>
          <w:vertAlign w:val="superscript"/>
        </w:rPr>
        <w:t>1</w:t>
      </w:r>
      <w:r w:rsidRPr="00355D07">
        <w:rPr>
          <w:sz w:val="22"/>
          <w:szCs w:val="21"/>
        </w:rPr>
        <w:br/>
      </w:r>
      <w:r w:rsidRPr="00355D07">
        <w:rPr>
          <w:color w:val="1A1A1A"/>
          <w:sz w:val="22"/>
          <w:szCs w:val="21"/>
        </w:rPr>
        <w:t>Arthur Chiodelli</w:t>
      </w:r>
      <w:r w:rsidRPr="00355D07">
        <w:rPr>
          <w:color w:val="1A1A1A"/>
          <w:sz w:val="22"/>
          <w:szCs w:val="21"/>
          <w:vertAlign w:val="superscript"/>
        </w:rPr>
        <w:t>1</w:t>
      </w:r>
      <w:r w:rsidRPr="00355D07">
        <w:rPr>
          <w:sz w:val="22"/>
          <w:szCs w:val="21"/>
        </w:rPr>
        <w:br/>
      </w:r>
      <w:r w:rsidRPr="00355D07">
        <w:rPr>
          <w:color w:val="1A1A1A"/>
          <w:sz w:val="22"/>
          <w:szCs w:val="21"/>
        </w:rPr>
        <w:t>Bianca Pizetta Holz</w:t>
      </w:r>
      <w:r w:rsidRPr="00355D07">
        <w:rPr>
          <w:color w:val="1A1A1A"/>
          <w:sz w:val="22"/>
          <w:szCs w:val="21"/>
          <w:vertAlign w:val="superscript"/>
        </w:rPr>
        <w:t>1</w:t>
      </w:r>
      <w:r w:rsidRPr="00355D07">
        <w:rPr>
          <w:sz w:val="22"/>
          <w:szCs w:val="21"/>
        </w:rPr>
        <w:br/>
      </w:r>
      <w:r w:rsidRPr="00355D07">
        <w:rPr>
          <w:color w:val="1A1A1A"/>
          <w:sz w:val="22"/>
          <w:szCs w:val="21"/>
        </w:rPr>
        <w:t>Carla Guerra Brugnera</w:t>
      </w:r>
      <w:r w:rsidRPr="00355D07">
        <w:rPr>
          <w:color w:val="1A1A1A"/>
          <w:sz w:val="22"/>
          <w:szCs w:val="21"/>
          <w:vertAlign w:val="superscript"/>
        </w:rPr>
        <w:t>1</w:t>
      </w:r>
      <w:r w:rsidRPr="00355D07">
        <w:rPr>
          <w:sz w:val="22"/>
          <w:szCs w:val="21"/>
        </w:rPr>
        <w:br/>
      </w:r>
      <w:r w:rsidRPr="00355D07">
        <w:rPr>
          <w:color w:val="1A1A1A"/>
          <w:sz w:val="22"/>
          <w:szCs w:val="21"/>
        </w:rPr>
        <w:t>Daniela Travi Cenci</w:t>
      </w:r>
      <w:r w:rsidRPr="00355D07">
        <w:rPr>
          <w:color w:val="1A1A1A"/>
          <w:sz w:val="22"/>
          <w:szCs w:val="21"/>
          <w:vertAlign w:val="superscript"/>
        </w:rPr>
        <w:t>1</w:t>
      </w:r>
      <w:r w:rsidRPr="00355D07">
        <w:rPr>
          <w:sz w:val="22"/>
          <w:szCs w:val="21"/>
        </w:rPr>
        <w:br/>
      </w:r>
      <w:r w:rsidRPr="00355D07">
        <w:rPr>
          <w:color w:val="1A1A1A"/>
          <w:sz w:val="22"/>
          <w:szCs w:val="21"/>
        </w:rPr>
        <w:t>Évelyn Carvalho Rodrigues</w:t>
      </w:r>
      <w:r w:rsidRPr="00355D07">
        <w:rPr>
          <w:color w:val="1A1A1A"/>
          <w:sz w:val="22"/>
          <w:szCs w:val="21"/>
          <w:vertAlign w:val="superscript"/>
        </w:rPr>
        <w:t>1</w:t>
      </w:r>
      <w:r w:rsidRPr="00355D07">
        <w:rPr>
          <w:sz w:val="22"/>
          <w:szCs w:val="21"/>
        </w:rPr>
        <w:br/>
      </w:r>
      <w:r w:rsidRPr="00355D07">
        <w:rPr>
          <w:color w:val="1A1A1A"/>
          <w:sz w:val="22"/>
          <w:szCs w:val="21"/>
        </w:rPr>
        <w:t>Gabriela Machado Lausmann</w:t>
      </w:r>
      <w:r w:rsidRPr="00355D07">
        <w:rPr>
          <w:color w:val="1A1A1A"/>
          <w:sz w:val="22"/>
          <w:szCs w:val="21"/>
          <w:vertAlign w:val="superscript"/>
        </w:rPr>
        <w:t>1</w:t>
      </w:r>
      <w:r w:rsidRPr="00355D07">
        <w:rPr>
          <w:sz w:val="22"/>
          <w:szCs w:val="21"/>
        </w:rPr>
        <w:br/>
      </w:r>
      <w:r w:rsidRPr="00355D07">
        <w:rPr>
          <w:color w:val="1A1A1A"/>
          <w:sz w:val="22"/>
          <w:szCs w:val="21"/>
        </w:rPr>
        <w:t>Mauricio Konig Luz</w:t>
      </w:r>
      <w:r w:rsidRPr="00355D07">
        <w:rPr>
          <w:color w:val="1A1A1A"/>
          <w:sz w:val="22"/>
          <w:szCs w:val="21"/>
          <w:vertAlign w:val="superscript"/>
        </w:rPr>
        <w:t>1</w:t>
      </w:r>
      <w:r w:rsidRPr="00355D07">
        <w:rPr>
          <w:sz w:val="22"/>
          <w:szCs w:val="21"/>
        </w:rPr>
        <w:br/>
      </w:r>
      <w:r w:rsidRPr="00355D07">
        <w:rPr>
          <w:color w:val="1A1A1A"/>
          <w:sz w:val="22"/>
          <w:szCs w:val="21"/>
        </w:rPr>
        <w:t>Yasmin Franco dos Santos</w:t>
      </w:r>
      <w:r w:rsidRPr="00355D07">
        <w:rPr>
          <w:color w:val="1A1A1A"/>
          <w:sz w:val="22"/>
          <w:szCs w:val="21"/>
          <w:vertAlign w:val="superscript"/>
        </w:rPr>
        <w:t>1</w:t>
      </w:r>
      <w:r w:rsidRPr="00355D07">
        <w:rPr>
          <w:sz w:val="22"/>
          <w:szCs w:val="21"/>
        </w:rPr>
        <w:br/>
      </w:r>
      <w:r w:rsidRPr="00355D07">
        <w:rPr>
          <w:color w:val="1A1A1A"/>
          <w:sz w:val="22"/>
          <w:szCs w:val="21"/>
        </w:rPr>
        <w:t>Georgia Chichelero</w:t>
      </w:r>
      <w:r w:rsidRPr="00355D07">
        <w:rPr>
          <w:color w:val="1A1A1A"/>
          <w:sz w:val="22"/>
          <w:szCs w:val="21"/>
          <w:vertAlign w:val="superscript"/>
        </w:rPr>
        <w:t>1</w:t>
      </w:r>
      <w:r w:rsidRPr="00355D07">
        <w:rPr>
          <w:sz w:val="22"/>
          <w:szCs w:val="21"/>
        </w:rPr>
        <w:br/>
      </w:r>
      <w:r w:rsidRPr="00355D07">
        <w:rPr>
          <w:color w:val="1A1A1A"/>
          <w:sz w:val="22"/>
          <w:szCs w:val="21"/>
        </w:rPr>
        <w:t>Daniela Bertol</w:t>
      </w:r>
      <w:r w:rsidRPr="00355D07">
        <w:rPr>
          <w:color w:val="1A1A1A"/>
          <w:sz w:val="22"/>
          <w:szCs w:val="21"/>
          <w:vertAlign w:val="superscript"/>
        </w:rPr>
        <w:t>1</w:t>
      </w:r>
    </w:p>
    <w:p w:rsidR="000B5910" w:rsidRPr="00F74578" w:rsidRDefault="00057F5C">
      <w:pPr>
        <w:spacing w:before="200" w:after="100"/>
        <w:rPr>
          <w:sz w:val="22"/>
        </w:rPr>
      </w:pPr>
      <w:r w:rsidRPr="00F74578">
        <w:rPr>
          <w:b/>
          <w:color w:val="1A1A1A"/>
          <w:sz w:val="22"/>
        </w:rPr>
        <w:t>RESUMO</w:t>
      </w:r>
    </w:p>
    <w:p w:rsidR="000B5910" w:rsidRPr="00F90C61" w:rsidRDefault="00057F5C" w:rsidP="00F90C61">
      <w:pPr>
        <w:spacing w:after="80" w:line="240" w:lineRule="auto"/>
        <w:jc w:val="both"/>
        <w:rPr>
          <w:sz w:val="22"/>
          <w:szCs w:val="21"/>
        </w:rPr>
      </w:pPr>
      <w:r w:rsidRPr="00F90C61">
        <w:rPr>
          <w:b/>
          <w:color w:val="1A1A1A"/>
          <w:sz w:val="22"/>
          <w:szCs w:val="21"/>
        </w:rPr>
        <w:t>Introdução:</w:t>
      </w:r>
      <w:r w:rsidRPr="00F90C61">
        <w:rPr>
          <w:color w:val="1A1A1A"/>
          <w:sz w:val="22"/>
          <w:szCs w:val="21"/>
        </w:rPr>
        <w:t xml:space="preserve"> O diabetes mellitus tipo 2 (DM2) é uma doença crônica prevalente, com impacto crescente sobre a função cognitiva. Nessa população, recomenda-se o rastreamento de alterações cognitivas devido ao maior risco de demência e dificuldades no autocuidado. Instrumentos como o Mini Exame do Estado Mental (MEEM) e o Mini-Cog são utilizados, porém ainda são escassos os estudos que comparem seu desempenho em pacientes com DM2. </w:t>
      </w:r>
      <w:r w:rsidRPr="00F90C61">
        <w:rPr>
          <w:b/>
          <w:color w:val="1A1A1A"/>
          <w:sz w:val="22"/>
          <w:szCs w:val="21"/>
        </w:rPr>
        <w:t>Objetivo:</w:t>
      </w:r>
      <w:r w:rsidRPr="00F90C61">
        <w:rPr>
          <w:color w:val="1A1A1A"/>
          <w:sz w:val="22"/>
          <w:szCs w:val="21"/>
        </w:rPr>
        <w:t xml:space="preserve"> Avaliar a concordância entre MEEM e Mini-Cog na triagem de declínio cognitivo em pacientes com DM2. </w:t>
      </w:r>
      <w:r w:rsidRPr="00F90C61">
        <w:rPr>
          <w:b/>
          <w:color w:val="1A1A1A"/>
          <w:sz w:val="22"/>
          <w:szCs w:val="21"/>
        </w:rPr>
        <w:t>Métodos:</w:t>
      </w:r>
      <w:r w:rsidRPr="00F90C61">
        <w:rPr>
          <w:color w:val="1A1A1A"/>
          <w:sz w:val="22"/>
          <w:szCs w:val="21"/>
        </w:rPr>
        <w:t xml:space="preserve"> Estudo transversal realizado em um hospital terciário no norte gaúcho. </w:t>
      </w:r>
      <w:proofErr w:type="gramStart"/>
      <w:r w:rsidRPr="00F90C61">
        <w:rPr>
          <w:color w:val="1A1A1A"/>
          <w:sz w:val="22"/>
          <w:szCs w:val="21"/>
        </w:rPr>
        <w:t>A</w:t>
      </w:r>
      <w:proofErr w:type="gramEnd"/>
      <w:r w:rsidRPr="00F90C61">
        <w:rPr>
          <w:color w:val="1A1A1A"/>
          <w:sz w:val="22"/>
          <w:szCs w:val="21"/>
        </w:rPr>
        <w:t xml:space="preserve"> amostra, por conveniência, constituiu-se de pacientes com DM2, idade ≥45 anos e em acompanhamento ambulatorial. Excluíram-se indivíduos com doenças neurológicas/psiquiátricas graves ou uso de fármacos de ação central. Os dados foram obtidos por prontuário eletrônico e entrevista estruturada, com aplicação simultânea do MEEM e do Mini-Cog. Aprovado sob CAAE: 91032025.3.0000.5342. Os resultados foram dicotomizados em “normal” e “alterado” com base em pontos de corte previamente estabelecidos (ajustados para escolaridade no MEEM). Escores acima do ponto de corte foram considerados normais, e abaixo, alterados, indicando provável comprometimento cognitivo. Para </w:t>
      </w:r>
      <w:proofErr w:type="gramStart"/>
      <w:r w:rsidRPr="00F90C61">
        <w:rPr>
          <w:color w:val="1A1A1A"/>
          <w:sz w:val="22"/>
          <w:szCs w:val="21"/>
        </w:rPr>
        <w:t>a</w:t>
      </w:r>
      <w:proofErr w:type="gramEnd"/>
      <w:r w:rsidRPr="00F90C61">
        <w:rPr>
          <w:color w:val="1A1A1A"/>
          <w:sz w:val="22"/>
          <w:szCs w:val="21"/>
        </w:rPr>
        <w:t xml:space="preserve"> análise de dados foi utilizada a estatística kappa para medir a concordância entre os instrumentos, considerando os critérios de Landis e Koch para interpretação do nível de concordância. As análises foram realizadas no software IBM SPSS Statistics, versão 24.0 (IBM Corporation, Nova Iorque, EUA), considerando nível de significância de 5%. </w:t>
      </w:r>
      <w:r w:rsidRPr="00F90C61">
        <w:rPr>
          <w:b/>
          <w:color w:val="1A1A1A"/>
          <w:sz w:val="22"/>
          <w:szCs w:val="21"/>
        </w:rPr>
        <w:t>Resultados</w:t>
      </w:r>
      <w:r w:rsidRPr="00F90C61">
        <w:rPr>
          <w:color w:val="1A1A1A"/>
          <w:sz w:val="22"/>
          <w:szCs w:val="21"/>
        </w:rPr>
        <w:t xml:space="preserve">: Foram avaliados 50 participantes (dados preliminares): idade média de 64 anos, 62% mulheres, 86% cor branca e todos residentes em área urbana. No MEEM, 84% apresentaram escores inferiores ao esperado para </w:t>
      </w:r>
      <w:proofErr w:type="gramStart"/>
      <w:r w:rsidRPr="00F90C61">
        <w:rPr>
          <w:color w:val="1A1A1A"/>
          <w:sz w:val="22"/>
          <w:szCs w:val="21"/>
        </w:rPr>
        <w:t>a</w:t>
      </w:r>
      <w:proofErr w:type="gramEnd"/>
      <w:r w:rsidRPr="00F90C61">
        <w:rPr>
          <w:color w:val="1A1A1A"/>
          <w:sz w:val="22"/>
          <w:szCs w:val="21"/>
        </w:rPr>
        <w:t xml:space="preserve"> escolaridade. No Mini-Cog, 64% apresentaram desempenho abaixo do ponto de corte. A proporção de concordância entre os testes MEEM e Mini-Cog foi de 72,6% (11,8% teste normais + 60,8% testes alterados), tendo como valor kappa de 0,312, sendo que valores entre 0,21 e 0,40 indicam pequena concordância (p=0,010). </w:t>
      </w:r>
      <w:r w:rsidRPr="00F90C61">
        <w:rPr>
          <w:b/>
          <w:color w:val="1A1A1A"/>
          <w:sz w:val="22"/>
          <w:szCs w:val="21"/>
        </w:rPr>
        <w:t>Conclusão:</w:t>
      </w:r>
      <w:r w:rsidRPr="00F90C61">
        <w:rPr>
          <w:color w:val="1A1A1A"/>
          <w:sz w:val="22"/>
          <w:szCs w:val="21"/>
        </w:rPr>
        <w:t xml:space="preserve"> Observou-se alta frequência de resultados alterados, com elevada concordância global, porém kappa baixo, indicando concordância limitada além do acaso. Os testes não são plenamente intercambiáveis, reforçando a necessidade de instrumentos mais objetivos para avaliação do declínio cognitivo em pacientes com DM2.</w:t>
      </w:r>
    </w:p>
    <w:p w:rsidR="000B5910" w:rsidRPr="00F74578" w:rsidRDefault="000B5910">
      <w:pPr>
        <w:pBdr>
          <w:bottom w:val="single" w:sz="4" w:space="2" w:color="808080"/>
        </w:pBdr>
        <w:spacing w:before="120" w:after="40"/>
        <w:rPr>
          <w:sz w:val="22"/>
        </w:rPr>
      </w:pPr>
    </w:p>
    <w:p w:rsidR="000B5910" w:rsidRPr="00C36ECF" w:rsidRDefault="00057F5C">
      <w:pPr>
        <w:spacing w:after="0" w:line="252" w:lineRule="auto"/>
        <w:rPr>
          <w:sz w:val="16"/>
          <w:szCs w:val="16"/>
        </w:rPr>
      </w:pPr>
      <w:r w:rsidRPr="00C36ECF">
        <w:rPr>
          <w:color w:val="595959"/>
          <w:sz w:val="16"/>
          <w:szCs w:val="16"/>
          <w:vertAlign w:val="superscript"/>
        </w:rPr>
        <w:t>1</w:t>
      </w:r>
      <w:r w:rsidRPr="00C36ECF">
        <w:rPr>
          <w:color w:val="595959"/>
          <w:sz w:val="16"/>
          <w:szCs w:val="16"/>
        </w:rPr>
        <w:t xml:space="preserve"> Universidade de Passo Fundo</w:t>
      </w:r>
    </w:p>
    <w:p w:rsidR="000B5910" w:rsidRDefault="000B5910">
      <w:pPr>
        <w:sectPr w:rsidR="000B5910">
          <w:headerReference w:type="default" r:id="rId75"/>
          <w:footerReference w:type="default" r:id="rId7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ELABORAÇÃO E IMPLEMENTAÇÃO DE GUIA DE CUIDADO PARA PESSOAS COM HIPERTENSÃO E DIABETES MELLITUS TIPO 2 PARA EQUIPES INTER PROFISSIONAIS DE ATENÇÃO PRIMÁRIA À SAUDE.</w:t>
      </w:r>
    </w:p>
    <w:p w:rsidR="000B5910" w:rsidRPr="00C36ECF" w:rsidRDefault="00057F5C">
      <w:pPr>
        <w:spacing w:after="40" w:line="252" w:lineRule="auto"/>
        <w:jc w:val="right"/>
        <w:rPr>
          <w:szCs w:val="21"/>
        </w:rPr>
      </w:pPr>
      <w:r w:rsidRPr="00C36ECF">
        <w:rPr>
          <w:color w:val="1A1A1A"/>
          <w:szCs w:val="21"/>
        </w:rPr>
        <w:t>Margarita Silva Diercks</w:t>
      </w:r>
      <w:r w:rsidRPr="00C36ECF">
        <w:rPr>
          <w:color w:val="1A1A1A"/>
          <w:szCs w:val="21"/>
          <w:vertAlign w:val="superscript"/>
        </w:rPr>
        <w:t>1</w:t>
      </w:r>
      <w:r w:rsidRPr="00C36ECF">
        <w:rPr>
          <w:szCs w:val="21"/>
        </w:rPr>
        <w:br/>
      </w:r>
      <w:r w:rsidRPr="00C36ECF">
        <w:rPr>
          <w:color w:val="1A1A1A"/>
          <w:szCs w:val="21"/>
        </w:rPr>
        <w:t>Lena Azeredo de Lima</w:t>
      </w:r>
      <w:r w:rsidRPr="00C36ECF">
        <w:rPr>
          <w:color w:val="1A1A1A"/>
          <w:szCs w:val="21"/>
          <w:vertAlign w:val="superscript"/>
        </w:rPr>
        <w:t>1</w:t>
      </w:r>
      <w:r w:rsidRPr="00C36ECF">
        <w:rPr>
          <w:szCs w:val="21"/>
        </w:rPr>
        <w:br/>
      </w:r>
      <w:r w:rsidRPr="00C36ECF">
        <w:rPr>
          <w:color w:val="1A1A1A"/>
          <w:szCs w:val="21"/>
        </w:rPr>
        <w:t>Fernanda Miranda Seixas Einloft</w:t>
      </w:r>
      <w:r w:rsidRPr="00C36ECF">
        <w:rPr>
          <w:color w:val="1A1A1A"/>
          <w:szCs w:val="21"/>
          <w:vertAlign w:val="superscript"/>
        </w:rPr>
        <w:t>1</w:t>
      </w:r>
      <w:r w:rsidRPr="00C36ECF">
        <w:rPr>
          <w:szCs w:val="21"/>
        </w:rPr>
        <w:br/>
      </w:r>
      <w:r w:rsidRPr="00C36ECF">
        <w:rPr>
          <w:color w:val="1A1A1A"/>
          <w:szCs w:val="21"/>
        </w:rPr>
        <w:t>Scheila Mai</w:t>
      </w:r>
      <w:r w:rsidRPr="00C36ECF">
        <w:rPr>
          <w:color w:val="1A1A1A"/>
          <w:szCs w:val="21"/>
          <w:vertAlign w:val="superscript"/>
        </w:rPr>
        <w:t>1</w:t>
      </w:r>
      <w:r w:rsidRPr="00C36ECF">
        <w:rPr>
          <w:szCs w:val="21"/>
        </w:rPr>
        <w:br/>
      </w:r>
      <w:r w:rsidRPr="00C36ECF">
        <w:rPr>
          <w:color w:val="1A1A1A"/>
          <w:szCs w:val="21"/>
        </w:rPr>
        <w:t>Angela Paveglio Teixeira Farias</w:t>
      </w:r>
      <w:r w:rsidRPr="00C36ECF">
        <w:rPr>
          <w:color w:val="1A1A1A"/>
          <w:szCs w:val="21"/>
          <w:vertAlign w:val="superscript"/>
        </w:rPr>
        <w:t>1</w:t>
      </w:r>
      <w:r w:rsidRPr="00C36ECF">
        <w:rPr>
          <w:szCs w:val="21"/>
        </w:rPr>
        <w:br/>
      </w:r>
      <w:r w:rsidRPr="00C36ECF">
        <w:rPr>
          <w:color w:val="1A1A1A"/>
          <w:szCs w:val="21"/>
        </w:rPr>
        <w:t>Rosa Levandovski</w:t>
      </w:r>
      <w:r w:rsidRPr="00C36ECF">
        <w:rPr>
          <w:color w:val="1A1A1A"/>
          <w:szCs w:val="21"/>
          <w:vertAlign w:val="superscript"/>
        </w:rPr>
        <w:t>1</w:t>
      </w:r>
      <w:r w:rsidRPr="00C36ECF">
        <w:rPr>
          <w:szCs w:val="21"/>
        </w:rPr>
        <w:br/>
      </w:r>
      <w:r w:rsidRPr="00C36ECF">
        <w:rPr>
          <w:color w:val="1A1A1A"/>
          <w:szCs w:val="21"/>
        </w:rPr>
        <w:t>Lucas Abreu Caversan</w:t>
      </w:r>
      <w:r w:rsidRPr="00C36ECF">
        <w:rPr>
          <w:color w:val="1A1A1A"/>
          <w:szCs w:val="21"/>
          <w:vertAlign w:val="superscript"/>
        </w:rPr>
        <w:t>1</w:t>
      </w:r>
    </w:p>
    <w:p w:rsidR="000B5910" w:rsidRDefault="00057F5C">
      <w:pPr>
        <w:spacing w:before="240" w:after="100"/>
      </w:pPr>
      <w:r>
        <w:rPr>
          <w:b/>
          <w:color w:val="1A1A1A"/>
          <w:sz w:val="22"/>
        </w:rPr>
        <w:t>RESUMO</w:t>
      </w:r>
    </w:p>
    <w:p w:rsidR="000B5910" w:rsidRPr="00C36ECF" w:rsidRDefault="00057F5C">
      <w:pPr>
        <w:spacing w:after="80"/>
        <w:jc w:val="both"/>
        <w:rPr>
          <w:sz w:val="22"/>
        </w:rPr>
      </w:pPr>
      <w:r w:rsidRPr="00C36ECF">
        <w:rPr>
          <w:b/>
          <w:color w:val="1A1A1A"/>
          <w:sz w:val="22"/>
        </w:rPr>
        <w:t>Introdução:</w:t>
      </w:r>
      <w:r w:rsidRPr="00C36ECF">
        <w:rPr>
          <w:color w:val="1A1A1A"/>
          <w:sz w:val="22"/>
        </w:rPr>
        <w:t xml:space="preserve"> É necessário que o cuidado das pessoas com diabetes mellitus tipo 2(DM2) seja orientado pelo Modelo de Atenção às Condições Crônicas (MACC), caracterizado pela estratificação de risco cardiovascular e avaliação da vulnerabilidade, cuidado integral por equipe interprofissional, abordagem centrada na pessoa, práticas baseadas em evidências, autocuidado apoiado e sistema de monitoramento e avaliação. </w:t>
      </w:r>
      <w:r w:rsidRPr="00C36ECF">
        <w:rPr>
          <w:b/>
          <w:color w:val="1A1A1A"/>
          <w:sz w:val="22"/>
        </w:rPr>
        <w:t>Objetivo</w:t>
      </w:r>
      <w:r w:rsidRPr="00C36ECF">
        <w:rPr>
          <w:color w:val="1A1A1A"/>
          <w:sz w:val="22"/>
        </w:rPr>
        <w:t xml:space="preserve">: O Grupo de Trabalho (GT) interprofissional para o Cuidado das Pessoas com Condições Crônicas do XXX elaborou o Guia de Cuidados da pessoa com hipertensão e DM2 para apoiar a tomada de decisão das equipes interprofissionais da Atenção Primária à Saúde (APS), subsidiar processo de educação permanente para qualificar o cuidado das pessoas com HAS/DM2. </w:t>
      </w:r>
      <w:r w:rsidRPr="00C36ECF">
        <w:rPr>
          <w:b/>
          <w:color w:val="1A1A1A"/>
          <w:sz w:val="22"/>
        </w:rPr>
        <w:t>Métodos</w:t>
      </w:r>
      <w:r w:rsidRPr="00C36ECF">
        <w:rPr>
          <w:color w:val="1A1A1A"/>
          <w:sz w:val="22"/>
        </w:rPr>
        <w:t xml:space="preserve">: A construção do Guia foi realizado a partir da revisão de diretrizes e protocolos atualizados (até Outubro/2025), revisado por especialistas em APS, endocrinologistas e cardiologistas. A diagramação do Guia segue um layout objetivo, baseado em esquemas lógicos, fluxogramas e mapas mentais para decisão clínica rápida. Composto por seis capítulos: MACC - Pilares do cuidado em Hipertensão e DM2; Tecnologias e Ferramentas de Apoio (por exemplo, Entrevista Motivacional); Mudanças de Estilo de Vida; O Cuidado da Pessoa com DM2; O Cuidado da Pessoa com hipertensão. </w:t>
      </w:r>
      <w:r w:rsidRPr="00C36ECF">
        <w:rPr>
          <w:b/>
          <w:color w:val="1A1A1A"/>
          <w:sz w:val="22"/>
        </w:rPr>
        <w:t>Resultados:</w:t>
      </w:r>
      <w:r w:rsidRPr="00C36ECF">
        <w:rPr>
          <w:color w:val="1A1A1A"/>
          <w:sz w:val="22"/>
        </w:rPr>
        <w:t xml:space="preserve"> O Guia qualifica o aprendizado prático dos profissionais. É utilizado para consulta rápida durante os atendimentos clínicos e para elaboração de educações permanentes com estes profissionais. Recebeu boas avaliações acerca da qualidade de seu conteúdo teórico e layout prático. O Guia está disponível online e na área de trabalho dos computadores da instituição. </w:t>
      </w:r>
      <w:r w:rsidRPr="00C36ECF">
        <w:rPr>
          <w:b/>
          <w:color w:val="1A1A1A"/>
          <w:sz w:val="22"/>
        </w:rPr>
        <w:t>Conclusão:</w:t>
      </w:r>
      <w:r w:rsidRPr="00C36ECF">
        <w:rPr>
          <w:color w:val="1A1A1A"/>
          <w:sz w:val="22"/>
        </w:rPr>
        <w:t xml:space="preserve"> A implementação do Guia, integrada à educação permanente estimula </w:t>
      </w:r>
      <w:proofErr w:type="gramStart"/>
      <w:r w:rsidRPr="00C36ECF">
        <w:rPr>
          <w:color w:val="1A1A1A"/>
          <w:sz w:val="22"/>
        </w:rPr>
        <w:t>a</w:t>
      </w:r>
      <w:proofErr w:type="gramEnd"/>
      <w:r w:rsidRPr="00C36ECF">
        <w:rPr>
          <w:color w:val="1A1A1A"/>
          <w:sz w:val="22"/>
        </w:rPr>
        <w:t xml:space="preserve"> adoção de práticas baseadas em evidências, consolida o MACC e fomenta o protagonismo das equipes da APS. O Guia se destaca como uma ferramenta relevante e estratégica para aprimorar a qualidade da atenção à saúde das pessoas com hipertensão e DM2 na APS. O Guia e as educações permanentes desenvolvidas a partir dele emergem como estratégias capazes de promover melhorias efetivas e sustentáveis no cotidiano da APS. O Guia e as educações permanentes desenvolvidas a partir dele emergem como estratégias capazes de promover melhorias efetivas e sustentáveis no cotidiano da APS.</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HNSC</w:t>
      </w:r>
    </w:p>
    <w:p w:rsidR="000B5910" w:rsidRDefault="000B5910">
      <w:pPr>
        <w:sectPr w:rsidR="000B5910">
          <w:headerReference w:type="default" r:id="rId77"/>
          <w:footerReference w:type="default" r:id="rId7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O IMPACTO DOS EVENTOS CLIMÁTICOS EXTREMOS; COMO AS ENCHENTES DE 2024 AFETARAM OS PACIENTES COM DIABETES DE UM HOSPITAL TERCIÁRIO</w:t>
      </w:r>
    </w:p>
    <w:p w:rsidR="000B5910" w:rsidRPr="00355D07" w:rsidRDefault="00057F5C">
      <w:pPr>
        <w:spacing w:after="40" w:line="252" w:lineRule="auto"/>
        <w:jc w:val="right"/>
        <w:rPr>
          <w:szCs w:val="21"/>
        </w:rPr>
      </w:pPr>
      <w:r w:rsidRPr="00355D07">
        <w:rPr>
          <w:color w:val="1A1A1A"/>
          <w:szCs w:val="21"/>
        </w:rPr>
        <w:t>Letícia de Abreu Freire</w:t>
      </w:r>
      <w:r w:rsidRPr="00355D07">
        <w:rPr>
          <w:color w:val="1A1A1A"/>
          <w:szCs w:val="21"/>
          <w:vertAlign w:val="superscript"/>
        </w:rPr>
        <w:t>1</w:t>
      </w:r>
      <w:r w:rsidRPr="00355D07">
        <w:rPr>
          <w:szCs w:val="21"/>
        </w:rPr>
        <w:br/>
      </w:r>
      <w:r w:rsidRPr="00355D07">
        <w:rPr>
          <w:color w:val="1A1A1A"/>
          <w:szCs w:val="21"/>
        </w:rPr>
        <w:t>Afonso Alexandre Pereira</w:t>
      </w:r>
      <w:r w:rsidRPr="00355D07">
        <w:rPr>
          <w:color w:val="1A1A1A"/>
          <w:szCs w:val="21"/>
          <w:vertAlign w:val="superscript"/>
        </w:rPr>
        <w:t>1</w:t>
      </w:r>
      <w:r w:rsidRPr="00355D07">
        <w:rPr>
          <w:szCs w:val="21"/>
        </w:rPr>
        <w:br/>
      </w:r>
      <w:r w:rsidRPr="00355D07">
        <w:rPr>
          <w:color w:val="1A1A1A"/>
          <w:szCs w:val="21"/>
        </w:rPr>
        <w:t>Vinícius Pessoa Nunes Vieira</w:t>
      </w:r>
      <w:r w:rsidRPr="00355D07">
        <w:rPr>
          <w:color w:val="1A1A1A"/>
          <w:szCs w:val="21"/>
          <w:vertAlign w:val="superscript"/>
        </w:rPr>
        <w:t>1</w:t>
      </w:r>
      <w:r w:rsidRPr="00355D07">
        <w:rPr>
          <w:szCs w:val="21"/>
        </w:rPr>
        <w:br/>
      </w:r>
      <w:r w:rsidRPr="00355D07">
        <w:rPr>
          <w:color w:val="1A1A1A"/>
          <w:szCs w:val="21"/>
        </w:rPr>
        <w:t>João Pedro Alves Vaz</w:t>
      </w:r>
      <w:r w:rsidRPr="00355D07">
        <w:rPr>
          <w:color w:val="1A1A1A"/>
          <w:szCs w:val="21"/>
          <w:vertAlign w:val="superscript"/>
        </w:rPr>
        <w:t>1</w:t>
      </w:r>
      <w:r w:rsidRPr="00355D07">
        <w:rPr>
          <w:szCs w:val="21"/>
        </w:rPr>
        <w:br/>
      </w:r>
      <w:r w:rsidRPr="00355D07">
        <w:rPr>
          <w:color w:val="1A1A1A"/>
          <w:szCs w:val="21"/>
        </w:rPr>
        <w:t>Guido Ribeiro Brun</w:t>
      </w:r>
      <w:r w:rsidRPr="00355D07">
        <w:rPr>
          <w:color w:val="1A1A1A"/>
          <w:szCs w:val="21"/>
          <w:vertAlign w:val="superscript"/>
        </w:rPr>
        <w:t>1</w:t>
      </w:r>
      <w:r w:rsidRPr="00355D07">
        <w:rPr>
          <w:szCs w:val="21"/>
        </w:rPr>
        <w:br/>
      </w:r>
      <w:r w:rsidRPr="00355D07">
        <w:rPr>
          <w:color w:val="1A1A1A"/>
          <w:szCs w:val="21"/>
        </w:rPr>
        <w:t>Luís Eduardo de Mello Maronez</w:t>
      </w:r>
      <w:r w:rsidRPr="00355D07">
        <w:rPr>
          <w:color w:val="1A1A1A"/>
          <w:szCs w:val="21"/>
          <w:vertAlign w:val="superscript"/>
        </w:rPr>
        <w:t>1</w:t>
      </w:r>
      <w:r w:rsidRPr="00355D07">
        <w:rPr>
          <w:szCs w:val="21"/>
        </w:rPr>
        <w:br/>
      </w:r>
      <w:r w:rsidRPr="00355D07">
        <w:rPr>
          <w:color w:val="1A1A1A"/>
          <w:szCs w:val="21"/>
        </w:rPr>
        <w:t>Lucas Ferreira Teixeira</w:t>
      </w:r>
      <w:r w:rsidRPr="00355D07">
        <w:rPr>
          <w:color w:val="1A1A1A"/>
          <w:szCs w:val="21"/>
          <w:vertAlign w:val="superscript"/>
        </w:rPr>
        <w:t>1</w:t>
      </w:r>
      <w:r w:rsidRPr="00355D07">
        <w:rPr>
          <w:szCs w:val="21"/>
        </w:rPr>
        <w:br/>
      </w:r>
      <w:r w:rsidRPr="00355D07">
        <w:rPr>
          <w:color w:val="1A1A1A"/>
          <w:szCs w:val="21"/>
        </w:rPr>
        <w:t>Johannes Thomas Braatz Wildner</w:t>
      </w:r>
      <w:r w:rsidRPr="00355D07">
        <w:rPr>
          <w:color w:val="1A1A1A"/>
          <w:szCs w:val="21"/>
          <w:vertAlign w:val="superscript"/>
        </w:rPr>
        <w:t>1</w:t>
      </w:r>
      <w:r w:rsidRPr="00355D07">
        <w:rPr>
          <w:szCs w:val="21"/>
        </w:rPr>
        <w:br/>
      </w:r>
      <w:r w:rsidRPr="00355D07">
        <w:rPr>
          <w:color w:val="1A1A1A"/>
          <w:szCs w:val="21"/>
        </w:rPr>
        <w:t>Otavio Gutierrez e Silva</w:t>
      </w:r>
      <w:r w:rsidRPr="00355D07">
        <w:rPr>
          <w:color w:val="1A1A1A"/>
          <w:szCs w:val="21"/>
          <w:vertAlign w:val="superscript"/>
        </w:rPr>
        <w:t>2</w:t>
      </w:r>
      <w:r w:rsidRPr="00355D07">
        <w:rPr>
          <w:szCs w:val="21"/>
        </w:rPr>
        <w:br/>
      </w:r>
      <w:r w:rsidRPr="00355D07">
        <w:rPr>
          <w:color w:val="1A1A1A"/>
          <w:szCs w:val="21"/>
        </w:rPr>
        <w:t>Ticiana da Costa Rodrigues</w:t>
      </w:r>
      <w:r w:rsidRPr="00355D07">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355D07" w:rsidRDefault="00057F5C">
      <w:pPr>
        <w:spacing w:after="80" w:line="264" w:lineRule="auto"/>
        <w:jc w:val="both"/>
        <w:rPr>
          <w:sz w:val="22"/>
          <w:szCs w:val="21"/>
        </w:rPr>
      </w:pPr>
      <w:r w:rsidRPr="00355D07">
        <w:rPr>
          <w:b/>
          <w:color w:val="1A1A1A"/>
          <w:sz w:val="22"/>
          <w:szCs w:val="21"/>
        </w:rPr>
        <w:t>Introdução:</w:t>
      </w:r>
      <w:r w:rsidRPr="00355D07">
        <w:rPr>
          <w:color w:val="1A1A1A"/>
          <w:sz w:val="22"/>
          <w:szCs w:val="21"/>
        </w:rPr>
        <w:t xml:space="preserve"> Eventos climáticos extremos têm aumentado nas duas últimas décadas globalmente. Em 2024, o Rio Grande do Sul (RS) foi afetado por uma grande enchente que causou muitos danos. Mensurar e compreender o tamanho do impacto desse evento em pacientes com doenças crônicas como o diabetes é de interesse público visto que a partir disso se pode considerar medidas para minimizar dificuldade de acessar cuidados em saúde em cenários adversos. </w:t>
      </w:r>
      <w:r w:rsidRPr="00355D07">
        <w:rPr>
          <w:b/>
          <w:color w:val="1A1A1A"/>
          <w:sz w:val="22"/>
          <w:szCs w:val="21"/>
        </w:rPr>
        <w:t>Objetivo:</w:t>
      </w:r>
      <w:r w:rsidRPr="00355D07">
        <w:rPr>
          <w:color w:val="1A1A1A"/>
          <w:sz w:val="22"/>
          <w:szCs w:val="21"/>
        </w:rPr>
        <w:t xml:space="preserve"> Esse estudo visa determinar o impacto das enchentes de 2024 no RS em pacientes com diabetes tipo 1 e tipo 2. </w:t>
      </w:r>
      <w:r w:rsidRPr="00355D07">
        <w:rPr>
          <w:b/>
          <w:color w:val="1A1A1A"/>
          <w:sz w:val="22"/>
          <w:szCs w:val="21"/>
        </w:rPr>
        <w:t>Métodos:</w:t>
      </w:r>
      <w:r w:rsidRPr="00355D07">
        <w:rPr>
          <w:color w:val="1A1A1A"/>
          <w:sz w:val="22"/>
          <w:szCs w:val="21"/>
        </w:rPr>
        <w:t xml:space="preserve"> O estudo envolveu pacientes ambulatoriais com diabetes tipo 1 e tipo 2 em seguimento no Serviço de Endocrinologia de um hospital terciário do RS a partir de novembro de 2024. Os participantes responderam a perguntas sobre o período das enchentes. Foram também analisados valores de hemoglobina glicada (HbA1c) 6 meses antes de maio de 2024 e os mais recentes. </w:t>
      </w:r>
      <w:proofErr w:type="gramStart"/>
      <w:r w:rsidRPr="00355D07">
        <w:rPr>
          <w:color w:val="1A1A1A"/>
          <w:sz w:val="22"/>
          <w:szCs w:val="21"/>
        </w:rPr>
        <w:t>A</w:t>
      </w:r>
      <w:proofErr w:type="gramEnd"/>
      <w:r w:rsidRPr="00355D07">
        <w:rPr>
          <w:color w:val="1A1A1A"/>
          <w:sz w:val="22"/>
          <w:szCs w:val="21"/>
        </w:rPr>
        <w:t xml:space="preserve"> análise estatística foi feita usando o t-teste no RStudio, resultados foram considerados estatisticamente significativos quando o valor de p&lt;0,05. O n calculado para detectar uma diferença de 0,5% foi de 170 participantes com o estudo contando com 144 avaliados.</w:t>
      </w:r>
      <w:r w:rsidRPr="00355D07">
        <w:rPr>
          <w:b/>
          <w:color w:val="1A1A1A"/>
          <w:sz w:val="22"/>
          <w:szCs w:val="21"/>
        </w:rPr>
        <w:t xml:space="preserve"> Resultados:</w:t>
      </w:r>
      <w:r w:rsidRPr="00355D07">
        <w:rPr>
          <w:color w:val="1A1A1A"/>
          <w:sz w:val="22"/>
          <w:szCs w:val="21"/>
        </w:rPr>
        <w:t xml:space="preserve"> Foram incluídos 144 pacientes, foram alocados 63 participantes (43,7%) no grupo afetado e 81 no grupo não afetado (56,2%). A maior parte era morador de Porto Alegre (61%). As moradias de 11% foram atingidas. Quase 30% deixaram de vir em consultas no período devido ao evento por problemas de mobilidade. Quanto à percepção de que o ocorrido interferiu no tratamento, 26% responderam afirmativamente. Outras dificuldades citadas durante o período foram a falta de acesso a serviços básicos (4%), incapacidade de encontrar medicamentos (6%) e impacto emocional (7%). Não se observou diferença significativa nos valores de HbA1c antes e depois do evento com p=0,4 para não afetados e p=0,8 para os afetados. </w:t>
      </w:r>
      <w:r w:rsidRPr="00355D07">
        <w:rPr>
          <w:b/>
          <w:color w:val="1A1A1A"/>
          <w:sz w:val="22"/>
          <w:szCs w:val="21"/>
        </w:rPr>
        <w:t>Conclusão:</w:t>
      </w:r>
      <w:r w:rsidRPr="00355D07">
        <w:rPr>
          <w:color w:val="1A1A1A"/>
          <w:sz w:val="22"/>
          <w:szCs w:val="21"/>
        </w:rPr>
        <w:t xml:space="preserve"> As enchentes de 2024 provocaram danos importantes, especialmente para os pacientes com diabetes. Apesar de não serem observados resultados estatisticamente significativos para os valores de HbA1c, é evidente o impacto na vida dos pacientes pelas respostas em entrevista. Identifica-se que fatores importantes do tratamento foram prejudicados, como a mobilidade e o acesso à medicação. Os intensos esforços públicos, a solidariedade da população e o papel crucial da atenção primária foram atores importantes na mitigação do dano causado. </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Hospital de Clinicas de Porto Alegre</w:t>
      </w:r>
    </w:p>
    <w:p w:rsidR="000B5910" w:rsidRDefault="00057F5C">
      <w:pPr>
        <w:spacing w:after="0" w:line="252" w:lineRule="auto"/>
      </w:pPr>
      <w:r>
        <w:rPr>
          <w:color w:val="595959"/>
          <w:sz w:val="13"/>
          <w:vertAlign w:val="superscript"/>
        </w:rPr>
        <w:t>2</w:t>
      </w:r>
      <w:r>
        <w:rPr>
          <w:color w:val="595959"/>
          <w:sz w:val="16"/>
        </w:rPr>
        <w:t xml:space="preserve"> Universidade Federal do Rio Grande do Sul</w:t>
      </w:r>
    </w:p>
    <w:p w:rsidR="000B5910" w:rsidRDefault="000B5910">
      <w:pPr>
        <w:sectPr w:rsidR="000B5910">
          <w:headerReference w:type="default" r:id="rId79"/>
          <w:footerReference w:type="default" r:id="rId8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EFEITO DA EDUCAÇÃO ALIMENTAR E NUTRICIONAL EM GRUPO ASSOCIADA AO ACONSELHAMENTO NUTRICIONAL INDIVIDUAL NA QUALIDADE DA DIETA DE INDIVÍDUOS COM DIABETES MELLITUS TIPO 2: ENSAIO CLÍNICO RANDOMIZADO</w:t>
      </w:r>
    </w:p>
    <w:p w:rsidR="000B5910" w:rsidRPr="00F90C61" w:rsidRDefault="00057F5C">
      <w:pPr>
        <w:spacing w:after="40" w:line="252" w:lineRule="auto"/>
        <w:jc w:val="right"/>
        <w:rPr>
          <w:szCs w:val="21"/>
        </w:rPr>
      </w:pPr>
      <w:r w:rsidRPr="00F90C61">
        <w:rPr>
          <w:color w:val="1A1A1A"/>
          <w:szCs w:val="21"/>
        </w:rPr>
        <w:t>Antônia Gonçalves Dambrowski</w:t>
      </w:r>
      <w:r w:rsidRPr="00F90C61">
        <w:rPr>
          <w:color w:val="1A1A1A"/>
          <w:szCs w:val="21"/>
          <w:vertAlign w:val="superscript"/>
        </w:rPr>
        <w:t>1</w:t>
      </w:r>
      <w:r w:rsidRPr="00F90C61">
        <w:rPr>
          <w:szCs w:val="21"/>
        </w:rPr>
        <w:br/>
      </w:r>
      <w:r w:rsidRPr="00F90C61">
        <w:rPr>
          <w:color w:val="1A1A1A"/>
          <w:szCs w:val="21"/>
        </w:rPr>
        <w:t>Aline Busanello</w:t>
      </w:r>
      <w:r w:rsidRPr="00F90C61">
        <w:rPr>
          <w:color w:val="1A1A1A"/>
          <w:szCs w:val="21"/>
          <w:vertAlign w:val="superscript"/>
        </w:rPr>
        <w:t>1</w:t>
      </w:r>
      <w:r w:rsidRPr="00F90C61">
        <w:rPr>
          <w:szCs w:val="21"/>
        </w:rPr>
        <w:br/>
      </w:r>
      <w:r w:rsidRPr="00F90C61">
        <w:rPr>
          <w:color w:val="1A1A1A"/>
          <w:szCs w:val="21"/>
        </w:rPr>
        <w:t>Samanta Catherine Ferreira</w:t>
      </w:r>
      <w:r w:rsidRPr="00F90C61">
        <w:rPr>
          <w:color w:val="1A1A1A"/>
          <w:szCs w:val="21"/>
          <w:vertAlign w:val="superscript"/>
        </w:rPr>
        <w:t>1</w:t>
      </w:r>
      <w:r w:rsidRPr="00F90C61">
        <w:rPr>
          <w:szCs w:val="21"/>
        </w:rPr>
        <w:br/>
      </w:r>
      <w:r w:rsidRPr="00F90C61">
        <w:rPr>
          <w:color w:val="1A1A1A"/>
          <w:szCs w:val="21"/>
        </w:rPr>
        <w:t>Rafaela da Costa Fabris</w:t>
      </w:r>
      <w:r w:rsidRPr="00F90C61">
        <w:rPr>
          <w:color w:val="1A1A1A"/>
          <w:szCs w:val="21"/>
          <w:vertAlign w:val="superscript"/>
        </w:rPr>
        <w:t>1</w:t>
      </w:r>
      <w:r w:rsidRPr="00F90C61">
        <w:rPr>
          <w:szCs w:val="21"/>
        </w:rPr>
        <w:br/>
      </w:r>
      <w:r w:rsidRPr="00F90C61">
        <w:rPr>
          <w:color w:val="1A1A1A"/>
          <w:szCs w:val="21"/>
        </w:rPr>
        <w:t>Jussara Carnevale de Almeida</w:t>
      </w:r>
      <w:r w:rsidRPr="00F90C61">
        <w:rPr>
          <w:color w:val="1A1A1A"/>
          <w:szCs w:val="21"/>
          <w:vertAlign w:val="superscript"/>
        </w:rPr>
        <w:t>1</w:t>
      </w:r>
    </w:p>
    <w:p w:rsidR="000B5910" w:rsidRDefault="00057F5C">
      <w:pPr>
        <w:spacing w:before="240" w:after="100"/>
      </w:pPr>
      <w:r>
        <w:rPr>
          <w:b/>
          <w:color w:val="1A1A1A"/>
          <w:sz w:val="22"/>
        </w:rPr>
        <w:t>RESUMO</w:t>
      </w:r>
    </w:p>
    <w:p w:rsidR="000B5910" w:rsidRPr="00355D07" w:rsidRDefault="00057F5C">
      <w:pPr>
        <w:spacing w:after="80"/>
        <w:jc w:val="both"/>
        <w:rPr>
          <w:sz w:val="22"/>
        </w:rPr>
      </w:pPr>
      <w:r w:rsidRPr="00355D07">
        <w:rPr>
          <w:b/>
          <w:color w:val="1A1A1A"/>
          <w:sz w:val="22"/>
        </w:rPr>
        <w:t>Introdução:</w:t>
      </w:r>
      <w:r w:rsidRPr="00355D07">
        <w:rPr>
          <w:color w:val="1A1A1A"/>
          <w:sz w:val="22"/>
        </w:rPr>
        <w:t xml:space="preserve"> A qualidade da dieta é um dos componentes centrais do tratamento do Diabetes Mellitus tipo 2 (DM2). </w:t>
      </w:r>
      <w:proofErr w:type="gramStart"/>
      <w:r w:rsidRPr="00355D07">
        <w:rPr>
          <w:color w:val="1A1A1A"/>
          <w:sz w:val="22"/>
        </w:rPr>
        <w:t>A</w:t>
      </w:r>
      <w:proofErr w:type="gramEnd"/>
      <w:r w:rsidRPr="00355D07">
        <w:rPr>
          <w:color w:val="1A1A1A"/>
          <w:sz w:val="22"/>
        </w:rPr>
        <w:t xml:space="preserve"> educação alimentar e nutricional (EAN) em grupo pode representar uma estratégia complementar ao aconselhamento nutricional individualizado para melhorar a qualidade da dieta e o controle metabólico. </w:t>
      </w:r>
      <w:r w:rsidRPr="00355D07">
        <w:rPr>
          <w:b/>
          <w:color w:val="1A1A1A"/>
          <w:sz w:val="22"/>
        </w:rPr>
        <w:t xml:space="preserve">Objetivo: </w:t>
      </w:r>
      <w:r w:rsidRPr="00355D07">
        <w:rPr>
          <w:color w:val="1A1A1A"/>
          <w:sz w:val="22"/>
        </w:rPr>
        <w:t xml:space="preserve">Avaliar o efeito da participação em grupos de EAN associada ao aconselhamento nutricional individual na qualidade da dieta e controle glicêmico de indivíduos com DM2, em comparação àqueles que receberam somente aconselhamento nutricional individualizado. </w:t>
      </w:r>
      <w:r w:rsidRPr="00355D07">
        <w:rPr>
          <w:b/>
          <w:color w:val="1A1A1A"/>
          <w:sz w:val="22"/>
        </w:rPr>
        <w:t>Métodos:</w:t>
      </w:r>
      <w:r w:rsidRPr="00355D07">
        <w:rPr>
          <w:color w:val="1A1A1A"/>
          <w:sz w:val="22"/>
        </w:rPr>
        <w:t xml:space="preserve"> Ensaio clínico randomizado, paralelo e aberto, realizado com indivíduos com DM2 atendidos ambulatório de hospital terciário. Os participantes foram randomizados entre controle ativo (aconselhamento nutricional individualizado) e intervenção (aconselhamento individualizado adicionado da participação em 3 encontros em grupo de EAN). As avaliações ocorreram no basal e após 4 meses. Foram coletados dados clínicos, sociodemográficos, antropométricos, bioquímicos e de ingestão alimentar (recordatório alimentar de 24 horas). A qualidade da dieta foi classificada a partir do Healthy Eating Index-2020 (HEI) em dieta inadequada (≤50 pontos), necessitando de melhorias (51-80 pontos) e adequada (≥80 pontos). Diferenças entre tempo e grupo foram testadas por Equações de Estimação Generalizadas. Estudo aprovado no Comitê de Ética em Pesquisa (2022-0238) e registrado (NCT05598203). </w:t>
      </w:r>
      <w:r w:rsidRPr="00355D07">
        <w:rPr>
          <w:b/>
          <w:color w:val="1A1A1A"/>
          <w:sz w:val="22"/>
        </w:rPr>
        <w:t>Resultados:</w:t>
      </w:r>
      <w:r w:rsidRPr="00355D07">
        <w:rPr>
          <w:color w:val="1A1A1A"/>
          <w:sz w:val="22"/>
        </w:rPr>
        <w:t xml:space="preserve"> Foram incluídos 202 participantes, sendo 62% mulheres; com 61 anos de idade (IQR: 53-65); HbA1c basal de 9.2% (IQR 8,3-10,2%) e duração do diabetes de 17,1 ± 9,6 anos. Houve uma redução de 0,4% nos valores de HbA1c ao longo do tempo no grupo intervenção (de 9,4% para 9,0%; p=0,003) e 0,2% no grupo controle ativo (de 9,1% para 8,9%; p=0,003), sem diferença significativa entre os grupos. Houve melhora na qualidade da dieta ao longo do acompanhamento, com redução da proporção daqueles classificados com dieta inadequada de 45,3% para 37,7% no controle e de 47,9% para 35,4% na intervenção (p=0,006), e aumento naqueles com HEI entre 51-80% de 53,8% para 58,5% no controle e de 49,0% para 62,5% na intervenção (p=0,018), sem efeito adicional da randomização.</w:t>
      </w:r>
      <w:r w:rsidRPr="00355D07">
        <w:rPr>
          <w:b/>
          <w:color w:val="1A1A1A"/>
          <w:sz w:val="22"/>
        </w:rPr>
        <w:t xml:space="preserve"> Conclusão:</w:t>
      </w:r>
      <w:r w:rsidRPr="00355D07">
        <w:rPr>
          <w:color w:val="1A1A1A"/>
          <w:sz w:val="22"/>
        </w:rPr>
        <w:t xml:space="preserve"> Após quatro meses de acompanhamento, observou-se melhora no controle glicêmico e na qualidade global da dieta em indivíduos com DM2 submetidos </w:t>
      </w:r>
      <w:proofErr w:type="gramStart"/>
      <w:r w:rsidRPr="00355D07">
        <w:rPr>
          <w:color w:val="1A1A1A"/>
          <w:sz w:val="22"/>
        </w:rPr>
        <w:t>a</w:t>
      </w:r>
      <w:proofErr w:type="gramEnd"/>
      <w:r w:rsidRPr="00355D07">
        <w:rPr>
          <w:color w:val="1A1A1A"/>
          <w:sz w:val="22"/>
        </w:rPr>
        <w:t xml:space="preserve"> aconselhamento nutricional individualizado, sem diferença entre aqueles que participaram dos grupos EAN.</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Federal Do Rio Grande Do Sul</w:t>
      </w:r>
    </w:p>
    <w:p w:rsidR="000B5910" w:rsidRDefault="000B5910">
      <w:pPr>
        <w:sectPr w:rsidR="000B5910">
          <w:headerReference w:type="default" r:id="rId81"/>
          <w:footerReference w:type="default" r:id="rId8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EFEITOS E EFICÁCIA DO TRANSPLANTE DE MICROBIOTA FECAL NO DIABETES TIPO 1: UMA REVISÃO SISTEMÁTICA</w:t>
      </w:r>
    </w:p>
    <w:p w:rsidR="000B5910" w:rsidRPr="00F90C61" w:rsidRDefault="00057F5C">
      <w:pPr>
        <w:spacing w:after="40" w:line="252" w:lineRule="auto"/>
        <w:jc w:val="right"/>
        <w:rPr>
          <w:szCs w:val="21"/>
        </w:rPr>
      </w:pPr>
      <w:r w:rsidRPr="00F90C61">
        <w:rPr>
          <w:color w:val="1A1A1A"/>
          <w:szCs w:val="21"/>
        </w:rPr>
        <w:t>Vitório Serafim</w:t>
      </w:r>
      <w:r w:rsidRPr="00F90C61">
        <w:rPr>
          <w:color w:val="1A1A1A"/>
          <w:szCs w:val="21"/>
          <w:vertAlign w:val="superscript"/>
        </w:rPr>
        <w:t>1</w:t>
      </w:r>
      <w:r w:rsidRPr="00F90C61">
        <w:rPr>
          <w:szCs w:val="21"/>
        </w:rPr>
        <w:br/>
      </w:r>
      <w:r w:rsidRPr="00F90C61">
        <w:rPr>
          <w:color w:val="1A1A1A"/>
          <w:szCs w:val="21"/>
        </w:rPr>
        <w:t>Carolina Silva Fernandes</w:t>
      </w:r>
      <w:r w:rsidRPr="00F90C61">
        <w:rPr>
          <w:color w:val="1A1A1A"/>
          <w:szCs w:val="21"/>
          <w:vertAlign w:val="superscript"/>
        </w:rPr>
        <w:t>1</w:t>
      </w:r>
      <w:r w:rsidRPr="00F90C61">
        <w:rPr>
          <w:szCs w:val="21"/>
        </w:rPr>
        <w:br/>
      </w:r>
      <w:r w:rsidRPr="00F90C61">
        <w:rPr>
          <w:color w:val="1A1A1A"/>
          <w:szCs w:val="21"/>
        </w:rPr>
        <w:t>Clara Figueiredo dos Santos</w:t>
      </w:r>
      <w:r w:rsidRPr="00F90C61">
        <w:rPr>
          <w:color w:val="1A1A1A"/>
          <w:szCs w:val="21"/>
          <w:vertAlign w:val="superscript"/>
        </w:rPr>
        <w:t>1</w:t>
      </w:r>
      <w:r w:rsidRPr="00F90C61">
        <w:rPr>
          <w:szCs w:val="21"/>
        </w:rPr>
        <w:br/>
      </w:r>
      <w:r w:rsidRPr="00F90C61">
        <w:rPr>
          <w:color w:val="1A1A1A"/>
          <w:szCs w:val="21"/>
        </w:rPr>
        <w:t>Henrique Silva Lovera</w:t>
      </w:r>
      <w:r w:rsidRPr="00F90C61">
        <w:rPr>
          <w:color w:val="1A1A1A"/>
          <w:szCs w:val="21"/>
          <w:vertAlign w:val="superscript"/>
        </w:rPr>
        <w:t>1</w:t>
      </w:r>
      <w:r w:rsidRPr="00F90C61">
        <w:rPr>
          <w:szCs w:val="21"/>
        </w:rPr>
        <w:br/>
      </w:r>
      <w:r w:rsidRPr="00F90C61">
        <w:rPr>
          <w:color w:val="1A1A1A"/>
          <w:szCs w:val="21"/>
        </w:rPr>
        <w:t>Julia Vitoria Pinto</w:t>
      </w:r>
      <w:r w:rsidRPr="00F90C61">
        <w:rPr>
          <w:color w:val="1A1A1A"/>
          <w:szCs w:val="21"/>
          <w:vertAlign w:val="superscript"/>
        </w:rPr>
        <w:t>1</w:t>
      </w:r>
      <w:r w:rsidRPr="00F90C61">
        <w:rPr>
          <w:szCs w:val="21"/>
        </w:rPr>
        <w:br/>
      </w:r>
      <w:r w:rsidRPr="00F90C61">
        <w:rPr>
          <w:color w:val="1A1A1A"/>
          <w:szCs w:val="21"/>
        </w:rPr>
        <w:t>Juliana Rosset dos Santos</w:t>
      </w:r>
      <w:r w:rsidRPr="00F90C61">
        <w:rPr>
          <w:color w:val="1A1A1A"/>
          <w:szCs w:val="21"/>
          <w:vertAlign w:val="superscript"/>
        </w:rPr>
        <w:t>2</w:t>
      </w:r>
      <w:r w:rsidRPr="00F90C61">
        <w:rPr>
          <w:szCs w:val="21"/>
        </w:rPr>
        <w:br/>
      </w:r>
      <w:r w:rsidRPr="00F90C61">
        <w:rPr>
          <w:color w:val="1A1A1A"/>
          <w:szCs w:val="21"/>
        </w:rPr>
        <w:t>Maria Fernanda Lema de Assis</w:t>
      </w:r>
      <w:r w:rsidRPr="00F90C61">
        <w:rPr>
          <w:color w:val="1A1A1A"/>
          <w:szCs w:val="21"/>
          <w:vertAlign w:val="superscript"/>
        </w:rPr>
        <w:t>1</w:t>
      </w:r>
      <w:r w:rsidRPr="00F90C61">
        <w:rPr>
          <w:szCs w:val="21"/>
        </w:rPr>
        <w:br/>
      </w:r>
      <w:r w:rsidRPr="00F90C61">
        <w:rPr>
          <w:color w:val="1A1A1A"/>
          <w:szCs w:val="21"/>
        </w:rPr>
        <w:t>Mariana Schlindwein Afonso</w:t>
      </w:r>
      <w:r w:rsidRPr="00F90C61">
        <w:rPr>
          <w:color w:val="1A1A1A"/>
          <w:szCs w:val="21"/>
          <w:vertAlign w:val="superscript"/>
        </w:rPr>
        <w:t>1</w:t>
      </w:r>
      <w:r w:rsidRPr="00F90C61">
        <w:rPr>
          <w:szCs w:val="21"/>
        </w:rPr>
        <w:br/>
      </w:r>
      <w:r w:rsidRPr="00F90C61">
        <w:rPr>
          <w:color w:val="1A1A1A"/>
          <w:szCs w:val="21"/>
        </w:rPr>
        <w:t>Martina Bressani de Sá</w:t>
      </w:r>
      <w:r w:rsidRPr="00F90C61">
        <w:rPr>
          <w:color w:val="1A1A1A"/>
          <w:szCs w:val="21"/>
          <w:vertAlign w:val="superscript"/>
        </w:rPr>
        <w:t>1</w:t>
      </w:r>
      <w:r w:rsidRPr="00F90C61">
        <w:rPr>
          <w:szCs w:val="21"/>
        </w:rPr>
        <w:br/>
      </w:r>
      <w:r w:rsidRPr="00F90C61">
        <w:rPr>
          <w:color w:val="1A1A1A"/>
          <w:szCs w:val="21"/>
        </w:rPr>
        <w:t>Rafaela Coelho Pires</w:t>
      </w:r>
      <w:r w:rsidRPr="00F90C61">
        <w:rPr>
          <w:color w:val="1A1A1A"/>
          <w:szCs w:val="21"/>
          <w:vertAlign w:val="superscript"/>
        </w:rPr>
        <w:t>1</w:t>
      </w:r>
      <w:r w:rsidRPr="00F90C61">
        <w:rPr>
          <w:szCs w:val="21"/>
        </w:rPr>
        <w:br/>
      </w:r>
      <w:r w:rsidRPr="00F90C61">
        <w:rPr>
          <w:color w:val="1A1A1A"/>
          <w:szCs w:val="21"/>
        </w:rPr>
        <w:t>Carolina Garcia Soares Leães Rech</w:t>
      </w:r>
      <w:r w:rsidRPr="00F90C61">
        <w:rPr>
          <w:color w:val="1A1A1A"/>
          <w:szCs w:val="21"/>
          <w:vertAlign w:val="superscript"/>
        </w:rPr>
        <w:t>3</w:t>
      </w:r>
    </w:p>
    <w:p w:rsidR="000B5910" w:rsidRDefault="00057F5C">
      <w:pPr>
        <w:spacing w:before="200" w:after="100"/>
        <w:rPr>
          <w:sz w:val="22"/>
          <w:szCs w:val="24"/>
        </w:rPr>
      </w:pPr>
      <w:r>
        <w:rPr>
          <w:b/>
          <w:color w:val="1A1A1A"/>
          <w:sz w:val="22"/>
          <w:szCs w:val="24"/>
        </w:rPr>
        <w:t>RESUMO</w:t>
      </w:r>
    </w:p>
    <w:p w:rsidR="000B5910" w:rsidRPr="00F90C61" w:rsidRDefault="00057F5C" w:rsidP="00F90C61">
      <w:pPr>
        <w:spacing w:after="80" w:line="240" w:lineRule="auto"/>
        <w:jc w:val="both"/>
        <w:rPr>
          <w:sz w:val="22"/>
        </w:rPr>
      </w:pPr>
      <w:r w:rsidRPr="00F90C61">
        <w:rPr>
          <w:b/>
          <w:color w:val="1A1A1A"/>
          <w:sz w:val="22"/>
        </w:rPr>
        <w:t xml:space="preserve">Introdução: </w:t>
      </w:r>
      <w:r w:rsidRPr="00F90C61">
        <w:rPr>
          <w:color w:val="1A1A1A"/>
          <w:sz w:val="22"/>
        </w:rPr>
        <w:t xml:space="preserve">O Diabetes Mellitus tipo 1 (DM1) é uma doença autoimune caracterizada pela destruição das células beta pancreáticas e consequente deficiência de insulina. Evidências sugerem que a disbiose intestinal participa da modulação imunológica e da progressão da doença. Nesse contexto, o transplante de microbiota fecal (TMF) surge como estratégia terapêutica potencial, visando restaurar a homeostase do microbioma, reduzir </w:t>
      </w:r>
      <w:proofErr w:type="gramStart"/>
      <w:r w:rsidRPr="00F90C61">
        <w:rPr>
          <w:color w:val="1A1A1A"/>
          <w:sz w:val="22"/>
        </w:rPr>
        <w:t>a</w:t>
      </w:r>
      <w:proofErr w:type="gramEnd"/>
      <w:r w:rsidRPr="00F90C61">
        <w:rPr>
          <w:color w:val="1A1A1A"/>
          <w:sz w:val="22"/>
        </w:rPr>
        <w:t xml:space="preserve"> autoimunidade e mitigar complicações.</w:t>
      </w:r>
      <w:r w:rsidRPr="00F90C61">
        <w:rPr>
          <w:b/>
          <w:color w:val="1A1A1A"/>
          <w:sz w:val="22"/>
        </w:rPr>
        <w:t xml:space="preserve"> Objetivo: </w:t>
      </w:r>
      <w:r w:rsidRPr="00F90C61">
        <w:rPr>
          <w:color w:val="1A1A1A"/>
          <w:sz w:val="22"/>
        </w:rPr>
        <w:t xml:space="preserve">Avaliar os efeitos do TMF em pacientes com DM1 quanto à preservação das células beta residuais, função metabólica e eventos adversos. </w:t>
      </w:r>
      <w:r w:rsidRPr="00F90C61">
        <w:rPr>
          <w:b/>
          <w:color w:val="1A1A1A"/>
          <w:sz w:val="22"/>
        </w:rPr>
        <w:t>Métodos:</w:t>
      </w:r>
      <w:r w:rsidRPr="00F90C61">
        <w:rPr>
          <w:color w:val="1A1A1A"/>
          <w:sz w:val="22"/>
        </w:rPr>
        <w:t xml:space="preserve"> Revisão sistemática conduzida conforme PRISMA. Busca realizada nas bases de dados PubMed, Embase e Cochrane Library utilizando descritores relacionados a Type 1 Diabetes e Fecal Microbiota Transplantation. O processo de triagem foi realizado de forma independente por dois revisores através do software Rayyan®. 269 artigos foram detectados e 59 duplicados foram excluídos. Critérios de inclusão foram estudos randomizados e estudos de coortes. Estudos pré-clínicos e populações mistas sem análise específica para DM1 foram excluídos. </w:t>
      </w:r>
      <w:r w:rsidRPr="00F90C61">
        <w:rPr>
          <w:b/>
          <w:color w:val="1A1A1A"/>
          <w:sz w:val="22"/>
        </w:rPr>
        <w:t>Resultados:</w:t>
      </w:r>
      <w:r w:rsidRPr="00F90C61">
        <w:rPr>
          <w:color w:val="1A1A1A"/>
          <w:sz w:val="22"/>
        </w:rPr>
        <w:t xml:space="preserve"> Incluíram-se 5 estudos, totalizando 69 pacientes. A síntese das evidências sobre a função pancreática revelou resultados heterogêneos e divergentes: </w:t>
      </w:r>
      <w:proofErr w:type="gramStart"/>
      <w:r w:rsidRPr="00F90C61">
        <w:rPr>
          <w:color w:val="1A1A1A"/>
          <w:sz w:val="22"/>
        </w:rPr>
        <w:t>a</w:t>
      </w:r>
      <w:proofErr w:type="gramEnd"/>
      <w:r w:rsidRPr="00F90C61">
        <w:rPr>
          <w:color w:val="1A1A1A"/>
          <w:sz w:val="22"/>
        </w:rPr>
        <w:t xml:space="preserve"> administração de TMF autólogo evidenciou preservação da função da célula beta (peptídeo-C) em um dos ensaios (p &lt; 0,001); contudo, o uso de cápsulas liofilizadas em outro protocolo não apresentou efeito estatisticamente significativo na interrupção do declínio pancreático (p = 0,88) ou no controle glicêmico. Em contrapartida, na avaliação das complicações autonômicas, observou-se melhora consistente da gastroenteropatia diabética, com redução significativa dos escores de gravidade (GSRS-IBS) em comparação ao placebo (p ≤ 0,01), efeito mantido em acompanhamento de longo prazo. Os eventos adversos reportados foram majoritariamente leves e transitórios, com destaque para o aumento pontual de episódios de constipação (p = 0,021). </w:t>
      </w:r>
      <w:r w:rsidRPr="00F90C61">
        <w:rPr>
          <w:b/>
          <w:color w:val="1A1A1A"/>
          <w:sz w:val="22"/>
        </w:rPr>
        <w:t>Conclusão:</w:t>
      </w:r>
      <w:r w:rsidRPr="00F90C61">
        <w:rPr>
          <w:color w:val="1A1A1A"/>
          <w:sz w:val="22"/>
        </w:rPr>
        <w:t xml:space="preserve"> Devido à heterogeneidade clínica e metodológica dos estudos incluídos, assim como ao pequeno número de amostras disponíveis, optou-se por não realizar metanálise, sendo conduzida síntese qualitativa das evidências. Os achados reforçam a necessidade de estudos clínicos randomizados, com maior poder amostral e padronização de intervenções e desfechos, para melhor elucidar o papel do TMF no DM1.</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Federal de Ciências da Saúde de Porto Alegre</w:t>
      </w:r>
    </w:p>
    <w:p w:rsidR="000B5910" w:rsidRDefault="00057F5C">
      <w:pPr>
        <w:spacing w:after="0" w:line="252" w:lineRule="auto"/>
      </w:pPr>
      <w:r>
        <w:rPr>
          <w:color w:val="595959"/>
          <w:sz w:val="13"/>
          <w:vertAlign w:val="superscript"/>
        </w:rPr>
        <w:t>2</w:t>
      </w:r>
      <w:r>
        <w:rPr>
          <w:color w:val="595959"/>
          <w:sz w:val="16"/>
        </w:rPr>
        <w:t xml:space="preserve"> Universidade Federal do Rio Grande do Sul</w:t>
      </w:r>
    </w:p>
    <w:p w:rsidR="000B5910" w:rsidRDefault="00057F5C">
      <w:pPr>
        <w:spacing w:after="0" w:line="252" w:lineRule="auto"/>
      </w:pPr>
      <w:r>
        <w:rPr>
          <w:color w:val="595959"/>
          <w:sz w:val="13"/>
          <w:vertAlign w:val="superscript"/>
        </w:rPr>
        <w:t>3</w:t>
      </w:r>
      <w:r>
        <w:rPr>
          <w:color w:val="595959"/>
          <w:sz w:val="16"/>
        </w:rPr>
        <w:t xml:space="preserve"> Santa Casa de Misericórdia de Porto Alegre</w:t>
      </w:r>
    </w:p>
    <w:p w:rsidR="000B5910" w:rsidRDefault="000B5910">
      <w:pPr>
        <w:sectPr w:rsidR="000B5910">
          <w:headerReference w:type="default" r:id="rId83"/>
          <w:footerReference w:type="default" r:id="rId8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PROTEÇÃO CARDIORRENAL NO DIABETES MELLITUS TIPO 2 PARA ALÉM DO CONTROLE GLICÊMICO: UMA REVISÃO SISTEMÁTICA SOBRE INIBIDORES DO SGLT2 E AGONISTAS DO GLP-1</w:t>
      </w:r>
    </w:p>
    <w:p w:rsidR="000B5910" w:rsidRPr="00F90C61" w:rsidRDefault="00057F5C">
      <w:pPr>
        <w:spacing w:after="40" w:line="252" w:lineRule="auto"/>
        <w:jc w:val="right"/>
        <w:rPr>
          <w:szCs w:val="21"/>
        </w:rPr>
      </w:pPr>
      <w:r w:rsidRPr="00F90C61">
        <w:rPr>
          <w:color w:val="1A1A1A"/>
          <w:szCs w:val="21"/>
        </w:rPr>
        <w:t xml:space="preserve">Micheline Márcia Igino </w:t>
      </w:r>
      <w:proofErr w:type="gramStart"/>
      <w:r w:rsidRPr="00F90C61">
        <w:rPr>
          <w:color w:val="1A1A1A"/>
          <w:szCs w:val="21"/>
        </w:rPr>
        <w:t>Da</w:t>
      </w:r>
      <w:proofErr w:type="gramEnd"/>
      <w:r w:rsidRPr="00F90C61">
        <w:rPr>
          <w:color w:val="1A1A1A"/>
          <w:szCs w:val="21"/>
        </w:rPr>
        <w:t xml:space="preserve"> Silva</w:t>
      </w:r>
      <w:r w:rsidRPr="00F90C61">
        <w:rPr>
          <w:color w:val="1A1A1A"/>
          <w:szCs w:val="21"/>
          <w:vertAlign w:val="superscript"/>
        </w:rPr>
        <w:t>1</w:t>
      </w:r>
      <w:r w:rsidRPr="00F90C61">
        <w:rPr>
          <w:szCs w:val="21"/>
        </w:rPr>
        <w:br/>
      </w:r>
      <w:r w:rsidRPr="00F90C61">
        <w:rPr>
          <w:color w:val="1A1A1A"/>
          <w:szCs w:val="21"/>
        </w:rPr>
        <w:t>João Lucas Costa Perfeito</w:t>
      </w:r>
      <w:r w:rsidRPr="00F90C61">
        <w:rPr>
          <w:color w:val="1A1A1A"/>
          <w:szCs w:val="21"/>
          <w:vertAlign w:val="superscript"/>
        </w:rPr>
        <w:t>1</w:t>
      </w:r>
      <w:r w:rsidRPr="00F90C61">
        <w:rPr>
          <w:szCs w:val="21"/>
        </w:rPr>
        <w:br/>
      </w:r>
      <w:r w:rsidRPr="00F90C61">
        <w:rPr>
          <w:color w:val="1A1A1A"/>
          <w:szCs w:val="21"/>
        </w:rPr>
        <w:t>Nândrea Da Silva Vestefal</w:t>
      </w:r>
      <w:r w:rsidRPr="00F90C61">
        <w:rPr>
          <w:color w:val="1A1A1A"/>
          <w:szCs w:val="21"/>
          <w:vertAlign w:val="superscript"/>
        </w:rPr>
        <w:t>1</w:t>
      </w:r>
      <w:r w:rsidRPr="00F90C61">
        <w:rPr>
          <w:szCs w:val="21"/>
        </w:rPr>
        <w:br/>
      </w:r>
      <w:r w:rsidRPr="00F90C61">
        <w:rPr>
          <w:color w:val="1A1A1A"/>
          <w:szCs w:val="21"/>
        </w:rPr>
        <w:t>Fernanda Camila Bassetto</w:t>
      </w:r>
      <w:r w:rsidRPr="00F90C61">
        <w:rPr>
          <w:color w:val="1A1A1A"/>
          <w:szCs w:val="21"/>
          <w:vertAlign w:val="superscript"/>
        </w:rPr>
        <w:t>1</w:t>
      </w:r>
      <w:r w:rsidRPr="00F90C61">
        <w:rPr>
          <w:szCs w:val="21"/>
        </w:rPr>
        <w:br/>
      </w:r>
      <w:r w:rsidRPr="00F90C61">
        <w:rPr>
          <w:color w:val="1A1A1A"/>
          <w:szCs w:val="21"/>
        </w:rPr>
        <w:t>Samanta Feliciano Nhaga</w:t>
      </w:r>
      <w:r w:rsidRPr="00F90C61">
        <w:rPr>
          <w:color w:val="1A1A1A"/>
          <w:szCs w:val="21"/>
          <w:vertAlign w:val="superscript"/>
        </w:rPr>
        <w:t>1</w:t>
      </w:r>
      <w:r w:rsidRPr="00F90C61">
        <w:rPr>
          <w:szCs w:val="21"/>
        </w:rPr>
        <w:br/>
      </w:r>
      <w:r w:rsidRPr="00F90C61">
        <w:rPr>
          <w:color w:val="1A1A1A"/>
          <w:szCs w:val="21"/>
        </w:rPr>
        <w:t>Daniele Dos Santos</w:t>
      </w:r>
      <w:r w:rsidRPr="00F90C61">
        <w:rPr>
          <w:color w:val="1A1A1A"/>
          <w:szCs w:val="21"/>
          <w:vertAlign w:val="superscript"/>
        </w:rPr>
        <w:t>1</w:t>
      </w:r>
    </w:p>
    <w:p w:rsidR="000B5910" w:rsidRDefault="00057F5C">
      <w:pPr>
        <w:spacing w:before="240" w:after="100"/>
      </w:pPr>
      <w:r>
        <w:rPr>
          <w:b/>
          <w:color w:val="1A1A1A"/>
          <w:sz w:val="22"/>
        </w:rPr>
        <w:t>RESUMO</w:t>
      </w:r>
    </w:p>
    <w:p w:rsidR="000B5910" w:rsidRPr="00F90C61" w:rsidRDefault="00057F5C">
      <w:pPr>
        <w:spacing w:after="80"/>
        <w:jc w:val="both"/>
        <w:rPr>
          <w:sz w:val="22"/>
        </w:rPr>
      </w:pPr>
      <w:r w:rsidRPr="00F90C61">
        <w:rPr>
          <w:b/>
          <w:color w:val="1A1A1A"/>
          <w:sz w:val="22"/>
        </w:rPr>
        <w:t xml:space="preserve">Introdução: </w:t>
      </w:r>
      <w:r w:rsidRPr="00F90C61">
        <w:rPr>
          <w:color w:val="1A1A1A"/>
          <w:sz w:val="22"/>
        </w:rPr>
        <w:t>O diabetes mellitus tipo 2 é a causa central de morbimortalidade cardiovascular e renal. Historicamente focado no controle glicêmico, o manejo atual evoluiu para a proteção precoce de órgãos-alvo, uma vez que o controle isolado da hemoglobina glicada é insuficiente para neutralizar riscos de insuficiência cardíaca e doença renal. Os inibidores do cotransportador sódio-glicose tipo 2 (SGLT2) e agonistas do receptor do peptídeo semelhante ao glucagon tipo 1 (GLP1) emergem como estratégias modificadoras de desfechos com benefícios que transcendem a glicemia.</w:t>
      </w:r>
      <w:r w:rsidRPr="00F90C61">
        <w:rPr>
          <w:b/>
          <w:color w:val="1A1A1A"/>
          <w:sz w:val="22"/>
        </w:rPr>
        <w:t xml:space="preserve"> Objetivo: </w:t>
      </w:r>
      <w:r w:rsidRPr="00F90C61">
        <w:rPr>
          <w:color w:val="1A1A1A"/>
          <w:sz w:val="22"/>
        </w:rPr>
        <w:t xml:space="preserve">Sintetizar as evidências clínicas dos últimos cinco anos sobre o papel dos SGLT2i e GLP-1 na proteção cardiorrenal, analisando a transição do manejo glicocêntrico para a preservação precoce de órgãos-alvo no diabetes tipo 2. </w:t>
      </w:r>
      <w:r w:rsidRPr="00F90C61">
        <w:rPr>
          <w:b/>
          <w:color w:val="1A1A1A"/>
          <w:sz w:val="22"/>
        </w:rPr>
        <w:t xml:space="preserve">Méotodos: </w:t>
      </w:r>
      <w:r w:rsidRPr="00F90C61">
        <w:rPr>
          <w:color w:val="1A1A1A"/>
          <w:sz w:val="22"/>
        </w:rPr>
        <w:t xml:space="preserve">Revisão sistemática baseada nas diretrizes PRISMA. Realizou-se busca sistematizada no PubMed (2021-2026), utilizando descritores MeSH para inibidores de sglt2, agonistas de glp-1 e proteção cardiorrenal. Foram priorizados ensaios clínicos, revisões sistemáticas e meta-análises, resultando na seleção de 24 estudos para análise qualitativa e síntese de evidências. </w:t>
      </w:r>
      <w:r w:rsidRPr="00F90C61">
        <w:rPr>
          <w:b/>
          <w:color w:val="1A1A1A"/>
          <w:sz w:val="22"/>
        </w:rPr>
        <w:t xml:space="preserve">Resultados: </w:t>
      </w:r>
      <w:r w:rsidRPr="00F90C61">
        <w:rPr>
          <w:color w:val="1A1A1A"/>
          <w:sz w:val="22"/>
        </w:rPr>
        <w:t>Observou-se redução consistente de eventos cardiovasculares maiores, com redução global de aproximadamente 10% (hazard ratio 0,90; IC 95% 0,86–0,94), atingindo 14% com agonistas de glp-1 e 11% com inibidores de sglt2, corroborada pelo estudo canagliflozina (hazard ratio 0,86). Os inibidores de sglt2 reduziram significativamente o desfecho composto de morte cardiovascular ou hospitalização por insuficiência cardíaca (hazard ratio 0,78; IC 95% 0,67–0,91), além de retardarem a progressão da doença renal e reduzirem biomarcadores de lesão tubular (TNFR-1, TNFR-2 e KIM-1). Os agonistas do receptor de glp-1ra apresentaram maior efeito na redução de eventos ateroscleróticos e inflamação vascular, com benefícios proporcionais à redução da hemoglobina glicada. Os resultados foram consistentes independentemente de idade, sexo ou duração da doença. Efeitos pleiotrópicos incluíram melhora da função endotelial e redução da gordura epicárdica.</w:t>
      </w:r>
      <w:r w:rsidRPr="00F90C61">
        <w:rPr>
          <w:b/>
          <w:color w:val="1A1A1A"/>
          <w:sz w:val="22"/>
        </w:rPr>
        <w:t xml:space="preserve"> Conclusão:</w:t>
      </w:r>
      <w:r w:rsidRPr="00F90C61">
        <w:rPr>
          <w:color w:val="1A1A1A"/>
          <w:sz w:val="22"/>
        </w:rPr>
        <w:t xml:space="preserve"> As evidências consolidam que inibidores de sglt2 e agonistas de glp-1 transcendem o controle glicêmico, oferecendo proteção multissistêmica. Sua incorporação precoce é essencial para a transição rumo </w:t>
      </w:r>
      <w:proofErr w:type="gramStart"/>
      <w:r w:rsidRPr="00F90C61">
        <w:rPr>
          <w:color w:val="1A1A1A"/>
          <w:sz w:val="22"/>
        </w:rPr>
        <w:t>a</w:t>
      </w:r>
      <w:proofErr w:type="gramEnd"/>
      <w:r w:rsidRPr="00F90C61">
        <w:rPr>
          <w:color w:val="1A1A1A"/>
          <w:sz w:val="22"/>
        </w:rPr>
        <w:t xml:space="preserve"> um modelo centrado na redução da morbimortalidade global e preservação de órgãos-alvo. </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Federal De Ciências </w:t>
      </w:r>
      <w:proofErr w:type="gramStart"/>
      <w:r>
        <w:rPr>
          <w:color w:val="595959"/>
          <w:sz w:val="17"/>
        </w:rPr>
        <w:t>Da</w:t>
      </w:r>
      <w:proofErr w:type="gramEnd"/>
      <w:r>
        <w:rPr>
          <w:color w:val="595959"/>
          <w:sz w:val="17"/>
        </w:rPr>
        <w:t xml:space="preserve"> Saúde De Porto Alegre</w:t>
      </w:r>
    </w:p>
    <w:p w:rsidR="000B5910" w:rsidRDefault="000B5910">
      <w:pPr>
        <w:sectPr w:rsidR="000B5910">
          <w:headerReference w:type="default" r:id="rId85"/>
          <w:footerReference w:type="default" r:id="rId86"/>
          <w:pgSz w:w="12240" w:h="15840"/>
          <w:pgMar w:top="1417" w:right="1417" w:bottom="1417" w:left="1417" w:header="680" w:footer="680" w:gutter="0"/>
          <w:cols w:space="720"/>
        </w:sectPr>
      </w:pPr>
    </w:p>
    <w:p w:rsidR="000B5910" w:rsidRDefault="00057F5C">
      <w:pPr>
        <w:spacing w:before="80" w:line="252" w:lineRule="auto"/>
        <w:jc w:val="center"/>
        <w:rPr>
          <w:spacing w:val="-6"/>
          <w:sz w:val="22"/>
          <w:szCs w:val="24"/>
        </w:rPr>
      </w:pPr>
      <w:r>
        <w:rPr>
          <w:b/>
          <w:color w:val="1A1A1A"/>
          <w:spacing w:val="-6"/>
          <w:sz w:val="28"/>
          <w:szCs w:val="24"/>
        </w:rPr>
        <w:lastRenderedPageBreak/>
        <w:t>EFETIVIDADE DE INTERVENÇÕES NUTRICIONAIS E/OU DE ATIVIDADE FÍSICA NA REVERSÃO A NORMOGLICEMIA EM ADULTOS E IDOSOS COM PRÉ-DIABETES: OVERVIEW DE REVISÕES SISTEMÁTICAS</w:t>
      </w:r>
    </w:p>
    <w:p w:rsidR="000B5910" w:rsidRPr="00F90C61" w:rsidRDefault="00057F5C">
      <w:pPr>
        <w:spacing w:after="40" w:line="252" w:lineRule="auto"/>
        <w:jc w:val="right"/>
        <w:rPr>
          <w:szCs w:val="21"/>
        </w:rPr>
      </w:pPr>
      <w:r w:rsidRPr="00F90C61">
        <w:rPr>
          <w:color w:val="1A1A1A"/>
          <w:szCs w:val="21"/>
        </w:rPr>
        <w:t>Olívia Garbin Koller</w:t>
      </w:r>
      <w:r w:rsidRPr="00F90C61">
        <w:rPr>
          <w:color w:val="1A1A1A"/>
          <w:szCs w:val="21"/>
          <w:vertAlign w:val="superscript"/>
        </w:rPr>
        <w:t>1</w:t>
      </w:r>
      <w:r w:rsidRPr="00F90C61">
        <w:rPr>
          <w:szCs w:val="21"/>
        </w:rPr>
        <w:br/>
      </w:r>
      <w:r w:rsidRPr="00F90C61">
        <w:rPr>
          <w:color w:val="1A1A1A"/>
          <w:szCs w:val="21"/>
        </w:rPr>
        <w:t>Vanessa Machado Menezes</w:t>
      </w:r>
      <w:r w:rsidRPr="00F90C61">
        <w:rPr>
          <w:color w:val="1A1A1A"/>
          <w:szCs w:val="21"/>
          <w:vertAlign w:val="superscript"/>
        </w:rPr>
        <w:t>1</w:t>
      </w:r>
      <w:r w:rsidRPr="00F90C61">
        <w:rPr>
          <w:szCs w:val="21"/>
        </w:rPr>
        <w:br/>
      </w:r>
      <w:r w:rsidRPr="00F90C61">
        <w:rPr>
          <w:color w:val="1A1A1A"/>
          <w:szCs w:val="21"/>
        </w:rPr>
        <w:t>João Gabriel Sanchez Tavares da Silva</w:t>
      </w:r>
      <w:r w:rsidRPr="00F90C61">
        <w:rPr>
          <w:color w:val="1A1A1A"/>
          <w:szCs w:val="21"/>
          <w:vertAlign w:val="superscript"/>
        </w:rPr>
        <w:t>2</w:t>
      </w:r>
      <w:r w:rsidRPr="00F90C61">
        <w:rPr>
          <w:szCs w:val="21"/>
        </w:rPr>
        <w:br/>
      </w:r>
      <w:r w:rsidRPr="00F90C61">
        <w:rPr>
          <w:color w:val="1A1A1A"/>
          <w:szCs w:val="21"/>
        </w:rPr>
        <w:t>Mabel Fernandes Figueiró</w:t>
      </w:r>
      <w:r w:rsidRPr="00F90C61">
        <w:rPr>
          <w:color w:val="1A1A1A"/>
          <w:szCs w:val="21"/>
          <w:vertAlign w:val="superscript"/>
        </w:rPr>
        <w:t>3</w:t>
      </w:r>
      <w:r w:rsidRPr="00F90C61">
        <w:rPr>
          <w:szCs w:val="21"/>
        </w:rPr>
        <w:br/>
      </w:r>
      <w:r w:rsidRPr="00F90C61">
        <w:rPr>
          <w:color w:val="1A1A1A"/>
          <w:szCs w:val="21"/>
        </w:rPr>
        <w:t>Ângela Cristine Bersch Ferreira</w:t>
      </w:r>
      <w:r w:rsidRPr="00F90C61">
        <w:rPr>
          <w:color w:val="1A1A1A"/>
          <w:szCs w:val="21"/>
          <w:vertAlign w:val="superscript"/>
        </w:rPr>
        <w:t>3</w:t>
      </w:r>
      <w:r w:rsidRPr="00F90C61">
        <w:rPr>
          <w:szCs w:val="21"/>
        </w:rPr>
        <w:br/>
      </w:r>
      <w:r w:rsidRPr="00F90C61">
        <w:rPr>
          <w:color w:val="1A1A1A"/>
          <w:szCs w:val="21"/>
        </w:rPr>
        <w:t>Moisés Carmo dos Anjos Pinheiro</w:t>
      </w:r>
      <w:r w:rsidRPr="00F90C61">
        <w:rPr>
          <w:color w:val="1A1A1A"/>
          <w:szCs w:val="21"/>
          <w:vertAlign w:val="superscript"/>
        </w:rPr>
        <w:t>4</w:t>
      </w:r>
      <w:r w:rsidRPr="00F90C61">
        <w:rPr>
          <w:szCs w:val="21"/>
        </w:rPr>
        <w:br/>
      </w:r>
      <w:r w:rsidRPr="00F90C61">
        <w:rPr>
          <w:color w:val="1A1A1A"/>
          <w:szCs w:val="21"/>
        </w:rPr>
        <w:t>Raira Pagano</w:t>
      </w:r>
      <w:r w:rsidRPr="00F90C61">
        <w:rPr>
          <w:color w:val="1A1A1A"/>
          <w:szCs w:val="21"/>
          <w:vertAlign w:val="superscript"/>
        </w:rPr>
        <w:t>3</w:t>
      </w:r>
      <w:r w:rsidRPr="00F90C61">
        <w:rPr>
          <w:szCs w:val="21"/>
        </w:rPr>
        <w:br/>
      </w:r>
      <w:r w:rsidRPr="00F90C61">
        <w:rPr>
          <w:color w:val="1A1A1A"/>
          <w:szCs w:val="21"/>
        </w:rPr>
        <w:t>Marcelo Macedo Rogero</w:t>
      </w:r>
      <w:r w:rsidRPr="00F90C61">
        <w:rPr>
          <w:color w:val="1A1A1A"/>
          <w:szCs w:val="21"/>
          <w:vertAlign w:val="superscript"/>
        </w:rPr>
        <w:t>4</w:t>
      </w:r>
      <w:r w:rsidRPr="00F90C61">
        <w:rPr>
          <w:szCs w:val="21"/>
        </w:rPr>
        <w:br/>
      </w:r>
      <w:r w:rsidRPr="00F90C61">
        <w:rPr>
          <w:color w:val="1A1A1A"/>
          <w:szCs w:val="21"/>
        </w:rPr>
        <w:t>Jussara Carnevale de Almeida</w:t>
      </w:r>
      <w:r w:rsidRPr="00F90C61">
        <w:rPr>
          <w:color w:val="1A1A1A"/>
          <w:szCs w:val="21"/>
          <w:vertAlign w:val="superscript"/>
        </w:rPr>
        <w:t>5</w:t>
      </w:r>
    </w:p>
    <w:p w:rsidR="000B5910" w:rsidRDefault="00057F5C">
      <w:pPr>
        <w:spacing w:before="200" w:after="100"/>
        <w:rPr>
          <w:sz w:val="22"/>
          <w:szCs w:val="24"/>
        </w:rPr>
      </w:pPr>
      <w:r>
        <w:rPr>
          <w:b/>
          <w:color w:val="1A1A1A"/>
          <w:sz w:val="22"/>
          <w:szCs w:val="24"/>
        </w:rPr>
        <w:t>RESUMO</w:t>
      </w:r>
    </w:p>
    <w:p w:rsidR="000B5910" w:rsidRPr="00F90C61" w:rsidRDefault="00057F5C" w:rsidP="00F90C61">
      <w:pPr>
        <w:spacing w:after="80" w:line="240" w:lineRule="auto"/>
        <w:jc w:val="both"/>
        <w:rPr>
          <w:sz w:val="22"/>
        </w:rPr>
      </w:pPr>
      <w:r w:rsidRPr="00F90C61">
        <w:rPr>
          <w:b/>
          <w:color w:val="1A1A1A"/>
          <w:sz w:val="22"/>
        </w:rPr>
        <w:t xml:space="preserve">Introdução: </w:t>
      </w:r>
      <w:r w:rsidRPr="00F90C61">
        <w:rPr>
          <w:color w:val="1A1A1A"/>
          <w:sz w:val="22"/>
        </w:rPr>
        <w:t xml:space="preserve">A mudança no estilo de vida é a principal estratégia para prevenir a progressão do pré-diabetes para diabetes tipo 2 (DM2). Entretanto, persistem incertezas quanto às intervenções nutricionais e de atividade física mais eficazes para promover a reversão à normoglicemia nessa população. </w:t>
      </w:r>
      <w:r w:rsidRPr="00F90C61">
        <w:rPr>
          <w:b/>
          <w:color w:val="1A1A1A"/>
          <w:sz w:val="22"/>
        </w:rPr>
        <w:t>Objetivo:</w:t>
      </w:r>
      <w:r w:rsidRPr="00F90C61">
        <w:rPr>
          <w:color w:val="1A1A1A"/>
          <w:sz w:val="22"/>
        </w:rPr>
        <w:t xml:space="preserve"> Sumarizar e avaliar criticamente revisões sistemáticas com metanálises de ensaios clínicos randomizados (ECRs) que investigaram os efeitos de intervenções nutricionais e/ou de atividade física na reversão à normoglicemia em adultos e idosos com pré-diabetes.</w:t>
      </w:r>
      <w:r w:rsidRPr="00F90C61">
        <w:rPr>
          <w:b/>
          <w:color w:val="1A1A1A"/>
          <w:sz w:val="22"/>
        </w:rPr>
        <w:t xml:space="preserve"> Métodos:</w:t>
      </w:r>
      <w:r w:rsidRPr="00F90C61">
        <w:rPr>
          <w:color w:val="1A1A1A"/>
          <w:sz w:val="22"/>
        </w:rPr>
        <w:t xml:space="preserve"> Overview conduzida conforme recomendações da Cochrane e registrada no PROSPERO CRD42023422444. Foram realizadas buscas em sete bases de dados (Epistemonikos, PubMed, Cochrane Library, Embase, BVS, Portal de Teses e Dissertações/CAPES e Google Scholar), até agosto de 2025, por revisões sistemáticas com metanálises de ECRs que avaliaram intervenções nutricionais e/ou de atividade física e reportaram reversão à normoglicemia no pré-diabetes. Seleção, extração de dados e avaliação do risco de viés (AMSTAR-2) foram realizadas por duas duplas de revisores independentes. Não houve restrição de data de publicação; incluíram-se estudos em inglês, espanhol e português. </w:t>
      </w:r>
      <w:r w:rsidRPr="00F90C61">
        <w:rPr>
          <w:b/>
          <w:color w:val="1A1A1A"/>
          <w:sz w:val="22"/>
        </w:rPr>
        <w:t xml:space="preserve">Resultados: </w:t>
      </w:r>
      <w:r w:rsidRPr="00F90C61">
        <w:rPr>
          <w:color w:val="1A1A1A"/>
          <w:sz w:val="22"/>
        </w:rPr>
        <w:t xml:space="preserve">Foram incluídas 4 revisões sistemáticas (2 de alta qualidade e 2 de baixa qualidade, AMSTAR-2), publicadas entre 2022 e 2025, abrangendo 43 ECRs (n=15.954) e 5 metanálises com heterogeneidade substancial (I²≥60%). Observou-se maior probabilidade de reversão à normoglicemia nos grupos submetidos </w:t>
      </w:r>
      <w:proofErr w:type="gramStart"/>
      <w:r w:rsidRPr="00F90C61">
        <w:rPr>
          <w:color w:val="1A1A1A"/>
          <w:sz w:val="22"/>
        </w:rPr>
        <w:t>a</w:t>
      </w:r>
      <w:proofErr w:type="gramEnd"/>
      <w:r w:rsidRPr="00F90C61">
        <w:rPr>
          <w:color w:val="1A1A1A"/>
          <w:sz w:val="22"/>
        </w:rPr>
        <w:t xml:space="preserve"> intervenções de estilo de vida (RR entre 1,44 e 1,76). As intervenções eram principalmente multicomponentes e individualizadas (≥6 meses) com restrição calórica para perda de peso de 5-10%, incentivo </w:t>
      </w:r>
      <w:proofErr w:type="gramStart"/>
      <w:r w:rsidRPr="00F90C61">
        <w:rPr>
          <w:color w:val="1A1A1A"/>
          <w:sz w:val="22"/>
        </w:rPr>
        <w:t>a</w:t>
      </w:r>
      <w:proofErr w:type="gramEnd"/>
      <w:r w:rsidRPr="00F90C61">
        <w:rPr>
          <w:color w:val="1A1A1A"/>
          <w:sz w:val="22"/>
        </w:rPr>
        <w:t xml:space="preserve"> alimentos in natura, redução de açúcares e gorduras saturadas e prática regular de atividade física (≥150min/sem de exercício aeróbico moderado, por vezes associado a resistido). A maioria incorporou estratégias comportamentais: automonitoramento, definição de metas e acompanhamento frequente, com contatos semanais a trimestrais, mais intensivos no início e seguidos por manutenção</w:t>
      </w:r>
      <w:r w:rsidRPr="00F90C61">
        <w:rPr>
          <w:b/>
          <w:color w:val="1A1A1A"/>
          <w:sz w:val="22"/>
        </w:rPr>
        <w:t xml:space="preserve">. Conclusão: </w:t>
      </w:r>
      <w:r w:rsidRPr="00F90C61">
        <w:rPr>
          <w:color w:val="1A1A1A"/>
          <w:sz w:val="22"/>
        </w:rPr>
        <w:t>Intervenções multicomponentes de estilo de vida, combinando dieta, atividade física e suporte comportamental, estão associadas ao aumento da probabilidade de reversão à normoglicemia em indivíduos com pré-diabetes. A heterogeneidade metodológica limita a comparação entre protocolos e indica a necessidade de maior padronização das intervenções.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Programa de Pós-graduação em Ciências Médicas: Endocrinologia, Universidade Federal do Rio Grande do Sul</w:t>
      </w:r>
    </w:p>
    <w:p w:rsidR="000B5910" w:rsidRDefault="00057F5C">
      <w:pPr>
        <w:spacing w:after="0" w:line="252" w:lineRule="auto"/>
      </w:pPr>
      <w:r>
        <w:rPr>
          <w:color w:val="595959"/>
          <w:sz w:val="13"/>
          <w:vertAlign w:val="superscript"/>
        </w:rPr>
        <w:t>2</w:t>
      </w:r>
      <w:r>
        <w:rPr>
          <w:color w:val="595959"/>
          <w:sz w:val="16"/>
        </w:rPr>
        <w:t xml:space="preserve"> Programa de Pós-graduação em Saúde Pública, Universidade de Brasília</w:t>
      </w:r>
    </w:p>
    <w:p w:rsidR="000B5910" w:rsidRDefault="00057F5C">
      <w:pPr>
        <w:spacing w:after="0" w:line="252" w:lineRule="auto"/>
      </w:pPr>
      <w:r>
        <w:rPr>
          <w:color w:val="595959"/>
          <w:sz w:val="13"/>
          <w:vertAlign w:val="superscript"/>
        </w:rPr>
        <w:t>3</w:t>
      </w:r>
      <w:r>
        <w:rPr>
          <w:color w:val="595959"/>
          <w:sz w:val="16"/>
        </w:rPr>
        <w:t xml:space="preserve"> A Beneficência Portuguesa de São Paulo, Unidade Paulista</w:t>
      </w:r>
    </w:p>
    <w:p w:rsidR="000B5910" w:rsidRDefault="00057F5C">
      <w:pPr>
        <w:spacing w:after="0" w:line="252" w:lineRule="auto"/>
      </w:pPr>
      <w:r>
        <w:rPr>
          <w:color w:val="595959"/>
          <w:sz w:val="13"/>
          <w:vertAlign w:val="superscript"/>
        </w:rPr>
        <w:t>4</w:t>
      </w:r>
      <w:r>
        <w:rPr>
          <w:color w:val="595959"/>
          <w:sz w:val="16"/>
        </w:rPr>
        <w:t xml:space="preserve"> Programa de Pós-graduação em Nutrição em Saúde Pública, Universidade de São Paulo</w:t>
      </w:r>
    </w:p>
    <w:p w:rsidR="000B5910" w:rsidRDefault="00057F5C">
      <w:pPr>
        <w:spacing w:after="0" w:line="252" w:lineRule="auto"/>
      </w:pPr>
      <w:r>
        <w:rPr>
          <w:color w:val="595959"/>
          <w:sz w:val="13"/>
          <w:vertAlign w:val="superscript"/>
        </w:rPr>
        <w:t>5</w:t>
      </w:r>
      <w:r>
        <w:rPr>
          <w:color w:val="595959"/>
          <w:sz w:val="16"/>
        </w:rPr>
        <w:t xml:space="preserve"> Programa de Pós-graduação em Ciências Médicas: Endocrinologia, UFRGS</w:t>
      </w:r>
    </w:p>
    <w:p w:rsidR="000B5910" w:rsidRDefault="000B5910">
      <w:pPr>
        <w:sectPr w:rsidR="000B5910">
          <w:headerReference w:type="default" r:id="rId87"/>
          <w:footerReference w:type="default" r:id="rId8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IMPACTO DOS AGONISTAS DO RECEPTOR GLP-1 NA REDUÇÃO DE EVENTOS CARDIOVASCULARES EM PACIENTES COM DIABETES MELLITUS TIPO 2: REVISÃO SISTEMÁTICA DE ENSAIOS CLÍNICOS RANDOMIZADOS</w:t>
      </w:r>
    </w:p>
    <w:p w:rsidR="000B5910" w:rsidRPr="00F90C61" w:rsidRDefault="00057F5C">
      <w:pPr>
        <w:spacing w:after="40" w:line="252" w:lineRule="auto"/>
        <w:jc w:val="right"/>
        <w:rPr>
          <w:szCs w:val="21"/>
        </w:rPr>
      </w:pPr>
      <w:r w:rsidRPr="00F90C61">
        <w:rPr>
          <w:color w:val="1A1A1A"/>
          <w:szCs w:val="21"/>
        </w:rPr>
        <w:t>Pedro Henrique Santinon</w:t>
      </w:r>
      <w:r w:rsidRPr="00F90C61">
        <w:rPr>
          <w:color w:val="1A1A1A"/>
          <w:szCs w:val="21"/>
          <w:vertAlign w:val="superscript"/>
        </w:rPr>
        <w:t>1</w:t>
      </w:r>
      <w:r w:rsidRPr="00F90C61">
        <w:rPr>
          <w:szCs w:val="21"/>
        </w:rPr>
        <w:br/>
      </w:r>
      <w:r w:rsidRPr="00F90C61">
        <w:rPr>
          <w:color w:val="1A1A1A"/>
          <w:szCs w:val="21"/>
        </w:rPr>
        <w:t>João Vitor Ribeiro Zonta</w:t>
      </w:r>
      <w:r w:rsidRPr="00F90C61">
        <w:rPr>
          <w:color w:val="1A1A1A"/>
          <w:szCs w:val="21"/>
          <w:vertAlign w:val="superscript"/>
        </w:rPr>
        <w:t>1</w:t>
      </w:r>
      <w:r w:rsidRPr="00F90C61">
        <w:rPr>
          <w:szCs w:val="21"/>
        </w:rPr>
        <w:br/>
      </w:r>
      <w:r w:rsidRPr="00F90C61">
        <w:rPr>
          <w:color w:val="1A1A1A"/>
          <w:szCs w:val="21"/>
        </w:rPr>
        <w:t>Pedro Battisti Zanin</w:t>
      </w:r>
      <w:r w:rsidRPr="00F90C61">
        <w:rPr>
          <w:color w:val="1A1A1A"/>
          <w:szCs w:val="21"/>
          <w:vertAlign w:val="superscript"/>
        </w:rPr>
        <w:t>1</w:t>
      </w:r>
    </w:p>
    <w:p w:rsidR="000B5910" w:rsidRDefault="00057F5C">
      <w:pPr>
        <w:spacing w:before="240" w:after="100"/>
      </w:pPr>
      <w:r>
        <w:rPr>
          <w:b/>
          <w:color w:val="1A1A1A"/>
          <w:sz w:val="22"/>
        </w:rPr>
        <w:t>RESUMO</w:t>
      </w:r>
    </w:p>
    <w:p w:rsidR="000B5910" w:rsidRPr="00043C0E" w:rsidRDefault="00057F5C">
      <w:pPr>
        <w:spacing w:after="80"/>
        <w:jc w:val="both"/>
        <w:rPr>
          <w:sz w:val="22"/>
        </w:rPr>
      </w:pPr>
      <w:r w:rsidRPr="00043C0E">
        <w:rPr>
          <w:b/>
          <w:color w:val="1A1A1A"/>
          <w:sz w:val="22"/>
        </w:rPr>
        <w:t>Introdução:</w:t>
      </w:r>
      <w:r w:rsidRPr="00043C0E">
        <w:rPr>
          <w:color w:val="1A1A1A"/>
          <w:sz w:val="22"/>
        </w:rPr>
        <w:t xml:space="preserve"> O diabetes mellitus tipo 2 (DM2) está frequentemente associado à obesidade e ao aumento do risco de eventos cardiovasculares, principal causa de morbimortalidade nessa população. Nos últimos anos, agonistas do receptor do peptídeo semelhante ao glucagon-1 (GLP-1) têm demonstrado benefícios metabólicos além do controle glicêmico, incluindo redução do peso corporal e efeitos cardioprotetores demonstrados em ensaios clínicos randomizados. </w:t>
      </w:r>
      <w:r w:rsidRPr="00043C0E">
        <w:rPr>
          <w:b/>
          <w:color w:val="1A1A1A"/>
          <w:sz w:val="22"/>
        </w:rPr>
        <w:t>Objetivo:</w:t>
      </w:r>
      <w:r w:rsidRPr="00043C0E">
        <w:rPr>
          <w:color w:val="1A1A1A"/>
          <w:sz w:val="22"/>
        </w:rPr>
        <w:t xml:space="preserve"> Avaliar o impacto dos agonistas do receptor GLP-1 na redução de eventos cardiovasculares maiores em pacientes com diabetes mellitus tipo 2. </w:t>
      </w:r>
      <w:r w:rsidRPr="00043C0E">
        <w:rPr>
          <w:b/>
          <w:color w:val="1A1A1A"/>
          <w:sz w:val="22"/>
        </w:rPr>
        <w:t>Métodos:</w:t>
      </w:r>
      <w:r w:rsidRPr="00043C0E">
        <w:rPr>
          <w:color w:val="1A1A1A"/>
          <w:sz w:val="22"/>
        </w:rPr>
        <w:t xml:space="preserve"> Realizou-se revisão sistemática da literatura conduzida conforme recomendações metodológicas do modelo PRISMA. Foram pesquisadas as bases de dados PubMed e Scopus para identificação de ensaios clínicos randomizados publicados entre 2016 e 2023 que avaliaram agonistas do receptor GLP-1 em pacientes com diabetes mellitus tipo 2. Foram incluídos estudos que compararam agonistas do receptor GLP-1 com placebo, com seguimento mínimo de 1 ano e avaliação de desfechos cardiovasculares maiores (MACE). Estudos observacionais, revisões e estudos sem desfechos cardiovasculares foram excluídos. A seleção dos estudos foi realizada por leitura de títulos, resumos e textos completos, conforme critérios de elegibilidade pré-definidos. </w:t>
      </w:r>
      <w:r w:rsidRPr="00043C0E">
        <w:rPr>
          <w:b/>
          <w:color w:val="1A1A1A"/>
          <w:sz w:val="22"/>
        </w:rPr>
        <w:t>Resultados:</w:t>
      </w:r>
      <w:r w:rsidRPr="00043C0E">
        <w:rPr>
          <w:color w:val="1A1A1A"/>
          <w:sz w:val="22"/>
        </w:rPr>
        <w:t xml:space="preserve"> Foram incluídos quatro ensaios clínicos randomizados de grande porte, totalizando aproximadamente 34.000 participantes, majoritariamente de alto risco cardiovascular. Estudos como LEADER, SUSTAIN-6, REWIND e AMPLITUDE-O demonstraram redução estatisticamente significativa do risco de eventos cardiovasculares maiores em comparação ao placebo. A redução relativa de risco de MACE variou entre aproximadamente 12% e 27% entre os diferentes estudos, com diminuição consistente de infarto do miocárdio, acidente vascular cerebral e mortalidade cardiovascular. Esses achados foram consistentes entre os diferentes agonistas do receptor GLP-1, reforçando o efeito cardioprotetor dessa classe terapêutica. </w:t>
      </w:r>
      <w:r w:rsidRPr="00043C0E">
        <w:rPr>
          <w:b/>
          <w:color w:val="1A1A1A"/>
          <w:sz w:val="22"/>
        </w:rPr>
        <w:t>Conclusão:</w:t>
      </w:r>
      <w:r w:rsidRPr="00043C0E">
        <w:rPr>
          <w:color w:val="1A1A1A"/>
          <w:sz w:val="22"/>
        </w:rPr>
        <w:t xml:space="preserve"> Os agonistas do receptor GLP-1 demonstram benefício cardiovascular significativo em pacientes com diabetes mellitus tipo 2, reduzindo eventos cardiovasculares maiores e contribuindo para a redução da morbimortalidade nessa população. Esses resultados reforçam o papel dos agonistas do receptor GLP-1 como estratégia terapêutica relevante na redução do risco cardiovascular em pacientes com DM2.</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Univates</w:t>
      </w:r>
    </w:p>
    <w:p w:rsidR="000B5910" w:rsidRDefault="000B5910">
      <w:pPr>
        <w:sectPr w:rsidR="000B5910">
          <w:headerReference w:type="default" r:id="rId89"/>
          <w:footerReference w:type="default" r:id="rId90"/>
          <w:pgSz w:w="12240" w:h="15840"/>
          <w:pgMar w:top="1417" w:right="1417" w:bottom="1417" w:left="1417" w:header="680" w:footer="680" w:gutter="0"/>
          <w:cols w:space="720"/>
        </w:sectPr>
      </w:pPr>
    </w:p>
    <w:p w:rsidR="000B5910" w:rsidRPr="00043C0E" w:rsidRDefault="00057F5C">
      <w:pPr>
        <w:spacing w:before="80" w:line="252" w:lineRule="auto"/>
        <w:jc w:val="center"/>
        <w:rPr>
          <w:sz w:val="28"/>
          <w:szCs w:val="28"/>
        </w:rPr>
      </w:pPr>
      <w:r w:rsidRPr="00043C0E">
        <w:rPr>
          <w:b/>
          <w:color w:val="1A1A1A"/>
          <w:sz w:val="28"/>
          <w:szCs w:val="28"/>
        </w:rPr>
        <w:lastRenderedPageBreak/>
        <w:t xml:space="preserve">O PARADOXO DO DIABETES NO SUL DO BRASIL (2015-2024): TRANSIÇÃO TERAPÊUTICA, REDUÇÃO DE INTERNAÇÕES E </w:t>
      </w:r>
      <w:proofErr w:type="gramStart"/>
      <w:r w:rsidRPr="00043C0E">
        <w:rPr>
          <w:b/>
          <w:color w:val="1A1A1A"/>
          <w:sz w:val="28"/>
          <w:szCs w:val="28"/>
        </w:rPr>
        <w:t>A</w:t>
      </w:r>
      <w:proofErr w:type="gramEnd"/>
      <w:r w:rsidRPr="00043C0E">
        <w:rPr>
          <w:b/>
          <w:color w:val="1A1A1A"/>
          <w:sz w:val="28"/>
          <w:szCs w:val="28"/>
        </w:rPr>
        <w:t xml:space="preserve"> ASSIMETRIA DE MORTALIDADE NO SUS</w:t>
      </w:r>
    </w:p>
    <w:p w:rsidR="000B5910" w:rsidRPr="00043C0E" w:rsidRDefault="00057F5C">
      <w:pPr>
        <w:spacing w:after="40" w:line="252" w:lineRule="auto"/>
        <w:jc w:val="right"/>
        <w:rPr>
          <w:szCs w:val="21"/>
        </w:rPr>
      </w:pPr>
      <w:r w:rsidRPr="00043C0E">
        <w:rPr>
          <w:color w:val="1A1A1A"/>
          <w:szCs w:val="21"/>
        </w:rPr>
        <w:t>Marco Antônio Brugnarotto Galvan</w:t>
      </w:r>
      <w:r w:rsidRPr="00043C0E">
        <w:rPr>
          <w:color w:val="1A1A1A"/>
          <w:szCs w:val="21"/>
          <w:vertAlign w:val="superscript"/>
        </w:rPr>
        <w:t>1</w:t>
      </w:r>
      <w:r w:rsidRPr="00043C0E">
        <w:rPr>
          <w:szCs w:val="21"/>
        </w:rPr>
        <w:br/>
      </w:r>
      <w:r w:rsidRPr="00043C0E">
        <w:rPr>
          <w:color w:val="1A1A1A"/>
          <w:szCs w:val="21"/>
        </w:rPr>
        <w:t>Luis Henrique Amorim Vieira</w:t>
      </w:r>
      <w:r w:rsidRPr="00043C0E">
        <w:rPr>
          <w:color w:val="1A1A1A"/>
          <w:szCs w:val="21"/>
          <w:vertAlign w:val="superscript"/>
        </w:rPr>
        <w:t>1</w:t>
      </w:r>
      <w:r w:rsidRPr="00043C0E">
        <w:rPr>
          <w:szCs w:val="21"/>
        </w:rPr>
        <w:br/>
      </w:r>
      <w:r w:rsidRPr="00043C0E">
        <w:rPr>
          <w:color w:val="1A1A1A"/>
          <w:szCs w:val="21"/>
        </w:rPr>
        <w:t>João Antônio Boeira Rubin</w:t>
      </w:r>
      <w:r w:rsidRPr="00043C0E">
        <w:rPr>
          <w:color w:val="1A1A1A"/>
          <w:szCs w:val="21"/>
          <w:vertAlign w:val="superscript"/>
        </w:rPr>
        <w:t>1</w:t>
      </w:r>
      <w:r w:rsidRPr="00043C0E">
        <w:rPr>
          <w:szCs w:val="21"/>
        </w:rPr>
        <w:br/>
      </w:r>
      <w:r w:rsidRPr="00043C0E">
        <w:rPr>
          <w:color w:val="1A1A1A"/>
          <w:szCs w:val="21"/>
        </w:rPr>
        <w:t>Murilo Gonçalves Braga</w:t>
      </w:r>
      <w:r w:rsidRPr="00043C0E">
        <w:rPr>
          <w:color w:val="1A1A1A"/>
          <w:szCs w:val="21"/>
          <w:vertAlign w:val="superscript"/>
        </w:rPr>
        <w:t>1</w:t>
      </w:r>
      <w:r w:rsidRPr="00043C0E">
        <w:rPr>
          <w:szCs w:val="21"/>
        </w:rPr>
        <w:br/>
      </w:r>
      <w:r w:rsidRPr="00043C0E">
        <w:rPr>
          <w:color w:val="1A1A1A"/>
          <w:szCs w:val="21"/>
        </w:rPr>
        <w:t>Júlia Luísa Mosena</w:t>
      </w:r>
      <w:r w:rsidRPr="00043C0E">
        <w:rPr>
          <w:color w:val="1A1A1A"/>
          <w:szCs w:val="21"/>
          <w:vertAlign w:val="superscript"/>
        </w:rPr>
        <w:t>2</w:t>
      </w:r>
      <w:r w:rsidRPr="00043C0E">
        <w:rPr>
          <w:szCs w:val="21"/>
        </w:rPr>
        <w:br/>
      </w:r>
      <w:r w:rsidRPr="00043C0E">
        <w:rPr>
          <w:color w:val="1A1A1A"/>
          <w:szCs w:val="21"/>
        </w:rPr>
        <w:t>Lorenzo Fauth Lucchese Moraes</w:t>
      </w:r>
      <w:r w:rsidRPr="00043C0E">
        <w:rPr>
          <w:color w:val="1A1A1A"/>
          <w:szCs w:val="21"/>
          <w:vertAlign w:val="superscript"/>
        </w:rPr>
        <w:t>1</w:t>
      </w:r>
      <w:r w:rsidRPr="00043C0E">
        <w:rPr>
          <w:szCs w:val="21"/>
        </w:rPr>
        <w:br/>
      </w:r>
      <w:r w:rsidRPr="00043C0E">
        <w:rPr>
          <w:color w:val="1A1A1A"/>
          <w:szCs w:val="21"/>
        </w:rPr>
        <w:t>Fernanda Aydos Tarrago</w:t>
      </w:r>
      <w:r w:rsidRPr="00043C0E">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043C0E" w:rsidRDefault="00057F5C">
      <w:pPr>
        <w:spacing w:after="80" w:line="264" w:lineRule="auto"/>
        <w:jc w:val="both"/>
        <w:rPr>
          <w:sz w:val="22"/>
          <w:szCs w:val="21"/>
        </w:rPr>
      </w:pPr>
      <w:r w:rsidRPr="00043C0E">
        <w:rPr>
          <w:b/>
          <w:color w:val="1A1A1A"/>
          <w:sz w:val="22"/>
          <w:szCs w:val="21"/>
        </w:rPr>
        <w:t>Introdução:</w:t>
      </w:r>
      <w:r w:rsidRPr="00043C0E">
        <w:rPr>
          <w:color w:val="1A1A1A"/>
          <w:sz w:val="22"/>
          <w:szCs w:val="21"/>
        </w:rPr>
        <w:t xml:space="preserve"> O manejo do Diabetes Mellitus (DM) no Sistema Único de Saúde (SUS) passou por uma transição recente com a incorporação dos inibidores de SGLT2 (iSGLT2) a partir de 2020, visando mitigar desfechos cardiovasculares e renais. Avaliar o impacto dessa modernização terapêutica e as disparidades regionais nas internações por DM é fundamental para o direcionamento de políticas de saúde pública.</w:t>
      </w:r>
      <w:r w:rsidRPr="00043C0E">
        <w:rPr>
          <w:b/>
          <w:color w:val="1A1A1A"/>
          <w:sz w:val="22"/>
          <w:szCs w:val="21"/>
        </w:rPr>
        <w:t xml:space="preserve"> Objetivo:</w:t>
      </w:r>
      <w:r w:rsidRPr="00043C0E">
        <w:rPr>
          <w:color w:val="1A1A1A"/>
          <w:sz w:val="22"/>
          <w:szCs w:val="21"/>
        </w:rPr>
        <w:t xml:space="preserve"> Analisar a tendência temporal de internações, tempo médio de permanência e mortalidade por DM no Sul do Brasil (2015-2024), contrastando o período pré e pós-incorporação de novas terapias e avaliando assimetrias entre Paraná (PR), Santa Catarina (SC) e Rio Grande do Sul (RS).</w:t>
      </w:r>
      <w:r w:rsidRPr="00043C0E">
        <w:rPr>
          <w:b/>
          <w:color w:val="1A1A1A"/>
          <w:sz w:val="22"/>
          <w:szCs w:val="21"/>
        </w:rPr>
        <w:t xml:space="preserve"> Métodos: </w:t>
      </w:r>
      <w:r w:rsidRPr="00043C0E">
        <w:rPr>
          <w:color w:val="1A1A1A"/>
          <w:sz w:val="22"/>
          <w:szCs w:val="21"/>
        </w:rPr>
        <w:t xml:space="preserve">Estudo epidemiológico retrospectivo e descritivo, utilizando dados do Sistema de Informações Hospitalares (SIH/SUS) via DATASUS. Foram incluídas internações na Região Sul (201 a 2024) com diagnóstico principal de DM (CID-10: E10 a E14). As variáveis analisadas incluíram o número absoluto de internações, o tempo médio de permanência hospitalar e o total de óbitos. análise contrastou as tendências dos períodos de 2015-2019 e 2020-2024. </w:t>
      </w:r>
      <w:r w:rsidRPr="00043C0E">
        <w:rPr>
          <w:b/>
          <w:color w:val="1A1A1A"/>
          <w:sz w:val="22"/>
          <w:szCs w:val="21"/>
        </w:rPr>
        <w:t xml:space="preserve">Resultados: </w:t>
      </w:r>
      <w:r w:rsidRPr="00043C0E">
        <w:rPr>
          <w:color w:val="1A1A1A"/>
          <w:sz w:val="22"/>
          <w:szCs w:val="21"/>
        </w:rPr>
        <w:t xml:space="preserve">Registraram-se 196.351 internações no período. Observou-se queda sustentada no volume de internações após 2020, a média anual da região reduziu de 20.887 (2015-2019) para 18.135 (2020-2024), possivelmente refletindo melhorias na atenção primária e o benefício inicial dos iSGLT2. Contudo, evidenciou-se forte assimetria de gravidade: o RS apresentou a maior média de permanência histórica (6,6 dias vs. 4,3 no PR e 5,3 em SC). Além disso, o RS concentrou quase metade (49,5%) dos óbitos do período (n=3.513), com letalidade muito superior à do PR (n=1.997), mesmo com volume de internações similar (79.686 no RS vs. 73.535 no PR). Destaca-se também um pico de mortalidade em 2021 em toda a região, atribuível à descompensação pela pandemia de COVID-19. </w:t>
      </w:r>
      <w:r w:rsidRPr="00043C0E">
        <w:rPr>
          <w:b/>
          <w:color w:val="1A1A1A"/>
          <w:sz w:val="22"/>
          <w:szCs w:val="21"/>
        </w:rPr>
        <w:t>Conclusão:</w:t>
      </w:r>
      <w:r w:rsidRPr="00043C0E">
        <w:rPr>
          <w:color w:val="1A1A1A"/>
          <w:sz w:val="22"/>
          <w:szCs w:val="21"/>
        </w:rPr>
        <w:t xml:space="preserve"> Embora a última década mostre uma tendência positiva de redução nas internações absolutas por DM na Região Sul, coincidente com a modernização farmacológica no SUS, o "Paradoxo Gaúcho" exige atenção urgente. Pacientes do RS permanecem internados por mais tempo e evoluem para o óbito com o dobro da frequência do PR, sugerindo que os pacientes gaúchos chegam à rede terciária em estágios de descompensação mais tardios e graves.</w:t>
      </w:r>
    </w:p>
    <w:p w:rsidR="000B5910" w:rsidRDefault="000B5910">
      <w:pPr>
        <w:pBdr>
          <w:bottom w:val="single" w:sz="4" w:space="2" w:color="808080"/>
        </w:pBdr>
        <w:spacing w:before="120" w:after="40"/>
      </w:pPr>
    </w:p>
    <w:p w:rsidR="000B5910" w:rsidRPr="00043C0E" w:rsidRDefault="00057F5C">
      <w:pPr>
        <w:spacing w:after="0" w:line="252" w:lineRule="auto"/>
        <w:rPr>
          <w:sz w:val="16"/>
          <w:szCs w:val="16"/>
        </w:rPr>
      </w:pPr>
      <w:r w:rsidRPr="00043C0E">
        <w:rPr>
          <w:color w:val="595959"/>
          <w:sz w:val="16"/>
          <w:szCs w:val="16"/>
          <w:vertAlign w:val="superscript"/>
        </w:rPr>
        <w:t>1</w:t>
      </w:r>
      <w:r w:rsidRPr="00043C0E">
        <w:rPr>
          <w:color w:val="595959"/>
          <w:sz w:val="16"/>
          <w:szCs w:val="16"/>
        </w:rPr>
        <w:t xml:space="preserve"> Pontifícia Universidade Católica do Rio Grande do Sul</w:t>
      </w:r>
    </w:p>
    <w:p w:rsidR="000B5910" w:rsidRPr="00043C0E" w:rsidRDefault="00057F5C">
      <w:pPr>
        <w:spacing w:after="0" w:line="252" w:lineRule="auto"/>
        <w:rPr>
          <w:sz w:val="16"/>
          <w:szCs w:val="16"/>
        </w:rPr>
      </w:pPr>
      <w:r w:rsidRPr="00043C0E">
        <w:rPr>
          <w:color w:val="595959"/>
          <w:sz w:val="16"/>
          <w:szCs w:val="16"/>
          <w:vertAlign w:val="superscript"/>
        </w:rPr>
        <w:t>2</w:t>
      </w:r>
      <w:r w:rsidRPr="00043C0E">
        <w:rPr>
          <w:color w:val="595959"/>
          <w:sz w:val="16"/>
          <w:szCs w:val="16"/>
        </w:rPr>
        <w:t xml:space="preserve"> Universidade Federal do Rio Grande do Sul</w:t>
      </w:r>
    </w:p>
    <w:p w:rsidR="000B5910" w:rsidRDefault="000B5910">
      <w:pPr>
        <w:sectPr w:rsidR="000B5910">
          <w:headerReference w:type="default" r:id="rId91"/>
          <w:footerReference w:type="default" r:id="rId9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PRIVAÇÃO DE SONO E RESISTÊNCIA INSULÍNICA: PAPEL DO EIXO HIPOTÁLAMO-HIPÓFISE-ADRENAL</w:t>
      </w:r>
    </w:p>
    <w:p w:rsidR="000B5910" w:rsidRPr="00043C0E" w:rsidRDefault="00057F5C">
      <w:pPr>
        <w:spacing w:after="40" w:line="252" w:lineRule="auto"/>
        <w:jc w:val="right"/>
        <w:rPr>
          <w:szCs w:val="21"/>
        </w:rPr>
      </w:pPr>
      <w:r w:rsidRPr="00043C0E">
        <w:rPr>
          <w:color w:val="1A1A1A"/>
          <w:szCs w:val="21"/>
        </w:rPr>
        <w:t>Marina Suzin Mantovani</w:t>
      </w:r>
      <w:r w:rsidRPr="00043C0E">
        <w:rPr>
          <w:color w:val="1A1A1A"/>
          <w:szCs w:val="21"/>
          <w:vertAlign w:val="superscript"/>
        </w:rPr>
        <w:t>1</w:t>
      </w:r>
      <w:r w:rsidRPr="00043C0E">
        <w:rPr>
          <w:szCs w:val="21"/>
        </w:rPr>
        <w:br/>
      </w:r>
      <w:r w:rsidRPr="00043C0E">
        <w:rPr>
          <w:color w:val="1A1A1A"/>
          <w:szCs w:val="21"/>
        </w:rPr>
        <w:t>Geórgia de Carvalho Cunha</w:t>
      </w:r>
      <w:r w:rsidRPr="00043C0E">
        <w:rPr>
          <w:color w:val="1A1A1A"/>
          <w:szCs w:val="21"/>
          <w:vertAlign w:val="superscript"/>
        </w:rPr>
        <w:t>1</w:t>
      </w:r>
      <w:r w:rsidRPr="00043C0E">
        <w:rPr>
          <w:szCs w:val="21"/>
        </w:rPr>
        <w:br/>
      </w:r>
      <w:r w:rsidRPr="00043C0E">
        <w:rPr>
          <w:color w:val="1A1A1A"/>
          <w:szCs w:val="21"/>
        </w:rPr>
        <w:t>Manuela Minetto Araújo</w:t>
      </w:r>
      <w:r w:rsidRPr="00043C0E">
        <w:rPr>
          <w:color w:val="1A1A1A"/>
          <w:szCs w:val="21"/>
          <w:vertAlign w:val="superscript"/>
        </w:rPr>
        <w:t>1</w:t>
      </w:r>
      <w:r w:rsidRPr="00043C0E">
        <w:rPr>
          <w:szCs w:val="21"/>
        </w:rPr>
        <w:br/>
      </w:r>
      <w:r w:rsidRPr="00043C0E">
        <w:rPr>
          <w:color w:val="1A1A1A"/>
          <w:szCs w:val="21"/>
        </w:rPr>
        <w:t>Helena Murillo Boesche</w:t>
      </w:r>
      <w:r w:rsidRPr="00043C0E">
        <w:rPr>
          <w:color w:val="1A1A1A"/>
          <w:szCs w:val="21"/>
          <w:vertAlign w:val="superscript"/>
        </w:rPr>
        <w:t>1</w:t>
      </w:r>
      <w:r w:rsidRPr="00043C0E">
        <w:rPr>
          <w:szCs w:val="21"/>
        </w:rPr>
        <w:br/>
      </w:r>
      <w:r w:rsidRPr="00043C0E">
        <w:rPr>
          <w:color w:val="1A1A1A"/>
          <w:szCs w:val="21"/>
        </w:rPr>
        <w:t>Isabela Velho de Quadros</w:t>
      </w:r>
      <w:r w:rsidRPr="00043C0E">
        <w:rPr>
          <w:color w:val="1A1A1A"/>
          <w:szCs w:val="21"/>
          <w:vertAlign w:val="superscript"/>
        </w:rPr>
        <w:t>1</w:t>
      </w:r>
      <w:r w:rsidRPr="00043C0E">
        <w:rPr>
          <w:szCs w:val="21"/>
        </w:rPr>
        <w:br/>
      </w:r>
      <w:r w:rsidRPr="00043C0E">
        <w:rPr>
          <w:color w:val="1A1A1A"/>
          <w:szCs w:val="21"/>
        </w:rPr>
        <w:t>Antônia Beltrão Lança</w:t>
      </w:r>
      <w:r w:rsidRPr="00043C0E">
        <w:rPr>
          <w:color w:val="1A1A1A"/>
          <w:szCs w:val="21"/>
          <w:vertAlign w:val="superscript"/>
        </w:rPr>
        <w:t>1</w:t>
      </w:r>
      <w:r w:rsidRPr="00043C0E">
        <w:rPr>
          <w:szCs w:val="21"/>
        </w:rPr>
        <w:br/>
      </w:r>
      <w:r w:rsidRPr="00043C0E">
        <w:rPr>
          <w:color w:val="1A1A1A"/>
          <w:szCs w:val="21"/>
        </w:rPr>
        <w:t>Julia Crestana Rangel</w:t>
      </w:r>
      <w:r w:rsidRPr="00043C0E">
        <w:rPr>
          <w:color w:val="1A1A1A"/>
          <w:szCs w:val="21"/>
          <w:vertAlign w:val="superscript"/>
        </w:rPr>
        <w:t>1</w:t>
      </w:r>
      <w:r w:rsidRPr="00043C0E">
        <w:rPr>
          <w:szCs w:val="21"/>
        </w:rPr>
        <w:br/>
      </w:r>
      <w:r w:rsidRPr="00043C0E">
        <w:rPr>
          <w:color w:val="1A1A1A"/>
          <w:szCs w:val="21"/>
        </w:rPr>
        <w:t>Isabela Hoffmeister Piltcher</w:t>
      </w:r>
      <w:r w:rsidRPr="00043C0E">
        <w:rPr>
          <w:color w:val="1A1A1A"/>
          <w:szCs w:val="21"/>
          <w:vertAlign w:val="superscript"/>
        </w:rPr>
        <w:t>1</w:t>
      </w:r>
      <w:r w:rsidRPr="00043C0E">
        <w:rPr>
          <w:szCs w:val="21"/>
        </w:rPr>
        <w:br/>
      </w:r>
      <w:r w:rsidRPr="00043C0E">
        <w:rPr>
          <w:color w:val="1A1A1A"/>
          <w:szCs w:val="21"/>
        </w:rPr>
        <w:t>Fernanda Dutra Cerutti</w:t>
      </w:r>
      <w:r w:rsidRPr="00043C0E">
        <w:rPr>
          <w:color w:val="1A1A1A"/>
          <w:szCs w:val="21"/>
          <w:vertAlign w:val="superscript"/>
        </w:rPr>
        <w:t>1</w:t>
      </w:r>
    </w:p>
    <w:p w:rsidR="000B5910" w:rsidRPr="00043C0E" w:rsidRDefault="00057F5C">
      <w:pPr>
        <w:spacing w:before="200" w:after="100"/>
        <w:rPr>
          <w:sz w:val="22"/>
        </w:rPr>
      </w:pPr>
      <w:r w:rsidRPr="00043C0E">
        <w:rPr>
          <w:b/>
          <w:color w:val="1A1A1A"/>
          <w:sz w:val="22"/>
        </w:rPr>
        <w:t>RESUMO</w:t>
      </w:r>
    </w:p>
    <w:p w:rsidR="000B5910" w:rsidRPr="00043C0E" w:rsidRDefault="00057F5C">
      <w:pPr>
        <w:spacing w:after="80" w:line="264" w:lineRule="auto"/>
        <w:jc w:val="both"/>
        <w:rPr>
          <w:sz w:val="22"/>
        </w:rPr>
      </w:pPr>
      <w:r w:rsidRPr="00043C0E">
        <w:rPr>
          <w:b/>
          <w:color w:val="1A1A1A"/>
          <w:sz w:val="22"/>
        </w:rPr>
        <w:t>Introdução:</w:t>
      </w:r>
      <w:r w:rsidRPr="00043C0E">
        <w:rPr>
          <w:color w:val="1A1A1A"/>
          <w:sz w:val="22"/>
        </w:rPr>
        <w:t xml:space="preserve"> O sono exerce papel fundamental na regulação metabólica e hormonal. A privação de sono tem sido associada </w:t>
      </w:r>
      <w:proofErr w:type="gramStart"/>
      <w:r w:rsidRPr="00043C0E">
        <w:rPr>
          <w:color w:val="1A1A1A"/>
          <w:sz w:val="22"/>
        </w:rPr>
        <w:t>a</w:t>
      </w:r>
      <w:proofErr w:type="gramEnd"/>
      <w:r w:rsidRPr="00043C0E">
        <w:rPr>
          <w:color w:val="1A1A1A"/>
          <w:sz w:val="22"/>
        </w:rPr>
        <w:t xml:space="preserve"> alterações no metabolismo da glicose e à redução da sensibilidade à insulina, contribuindo para o desenvolvimento de resistência insulínica. Entre os possíveis mecanismos envolvidos, destaca-se </w:t>
      </w:r>
      <w:proofErr w:type="gramStart"/>
      <w:r w:rsidRPr="00043C0E">
        <w:rPr>
          <w:color w:val="1A1A1A"/>
          <w:sz w:val="22"/>
        </w:rPr>
        <w:t>a</w:t>
      </w:r>
      <w:proofErr w:type="gramEnd"/>
      <w:r w:rsidRPr="00043C0E">
        <w:rPr>
          <w:color w:val="1A1A1A"/>
          <w:sz w:val="22"/>
        </w:rPr>
        <w:t xml:space="preserve"> ativação do eixo hipotálamo-hipófise-adrenal (HHA), com aumento da secreção de cortisol, hormônio que pode interferir na homeostase glicêmica.</w:t>
      </w:r>
      <w:r w:rsidRPr="00043C0E">
        <w:rPr>
          <w:b/>
          <w:color w:val="1A1A1A"/>
          <w:sz w:val="22"/>
        </w:rPr>
        <w:t xml:space="preserve"> Objetivo:</w:t>
      </w:r>
      <w:r w:rsidRPr="00043C0E">
        <w:rPr>
          <w:color w:val="1A1A1A"/>
          <w:sz w:val="22"/>
        </w:rPr>
        <w:t xml:space="preserve"> Avaliar a associação entre privação de sono e resistência insulínica, com foco no papel da ativação do eixo HHA e das alterações nos níveis de cortisol. </w:t>
      </w:r>
      <w:r w:rsidRPr="00043C0E">
        <w:rPr>
          <w:b/>
          <w:color w:val="1A1A1A"/>
          <w:sz w:val="22"/>
        </w:rPr>
        <w:t>Métodos:</w:t>
      </w:r>
      <w:r w:rsidRPr="00043C0E">
        <w:rPr>
          <w:color w:val="1A1A1A"/>
          <w:sz w:val="22"/>
        </w:rPr>
        <w:t xml:space="preserve"> Revisão sistemática da literatura com busca nas bases PubMed, SciELO e Google Scholar, utilizando os descritores sleep deprivation, sleep restriction, cortisol, HPA axis e insulin resistance. Incluíram-se estudos originais em humanos, publicados em inglês nos últimos 16 anos, que investigassem </w:t>
      </w:r>
      <w:proofErr w:type="gramStart"/>
      <w:r w:rsidRPr="00043C0E">
        <w:rPr>
          <w:color w:val="1A1A1A"/>
          <w:sz w:val="22"/>
        </w:rPr>
        <w:t>a</w:t>
      </w:r>
      <w:proofErr w:type="gramEnd"/>
      <w:r w:rsidRPr="00043C0E">
        <w:rPr>
          <w:color w:val="1A1A1A"/>
          <w:sz w:val="22"/>
        </w:rPr>
        <w:t xml:space="preserve"> associação entre privação de sono, ativação do eixo HHA e resistência insulínica. Excluíram-se artigos de revisão, estudos em animais e publicações que não abordassem as variáveis de interesse. </w:t>
      </w:r>
      <w:r w:rsidRPr="00043C0E">
        <w:rPr>
          <w:b/>
          <w:color w:val="1A1A1A"/>
          <w:sz w:val="22"/>
        </w:rPr>
        <w:t>Resultados:</w:t>
      </w:r>
      <w:r w:rsidRPr="00043C0E">
        <w:rPr>
          <w:color w:val="1A1A1A"/>
          <w:sz w:val="22"/>
        </w:rPr>
        <w:t xml:space="preserve"> Foram incluídos 8 estudos realizados em humanos, sendo 5 ensaios clínicos controlados e 3 estudos observacionais, totalizando aproximadamente 270 participantes. Nos protocolos experimentais, a duração do sono variou entre 4 e 6 horas por noite, por períodos de 3 dias a 6 semanas. A maioria dos estudos (7/8) demonstrou redução significativa da sensibilidade à insulina ou associação positiva com resistência insulínica após restrição de sono. Em protocolos com clamp hiperinsulinêmico-euglicêmico, observou-se redução aproximada de 20% na sensibilidade à insulina após uma semana de restrição de sono. Outros estudos identificaram aumento do HOMA-IR e redução da captação periférica de glicose. Alterações no eixo HHA foram observadas, com elevação de cortisol e alteração do ritmo circadiano. Além disso, estudos observacionais demonstraram associação entre menor duração do sono e maiores índices de resistência insulínica em diferentes populações. </w:t>
      </w:r>
      <w:r w:rsidRPr="00043C0E">
        <w:rPr>
          <w:b/>
          <w:color w:val="1A1A1A"/>
          <w:sz w:val="22"/>
        </w:rPr>
        <w:t>Conclusão:</w:t>
      </w:r>
      <w:r w:rsidRPr="00043C0E">
        <w:rPr>
          <w:color w:val="1A1A1A"/>
          <w:sz w:val="22"/>
        </w:rPr>
        <w:t xml:space="preserve"> Os achados demonstram que a privação ou restrição de sono está associada à redução da sensibilidade à insulina, possivelmente mediada pelo eixo HHA e alterações no cortisol. </w:t>
      </w:r>
      <w:proofErr w:type="gramStart"/>
      <w:r w:rsidRPr="00043C0E">
        <w:rPr>
          <w:color w:val="1A1A1A"/>
          <w:sz w:val="22"/>
        </w:rPr>
        <w:t>A</w:t>
      </w:r>
      <w:proofErr w:type="gramEnd"/>
      <w:r w:rsidRPr="00043C0E">
        <w:rPr>
          <w:color w:val="1A1A1A"/>
          <w:sz w:val="22"/>
        </w:rPr>
        <w:t xml:space="preserve"> exposição crônica a sono insuficiente pode contribuir para alterações metabólicas precoces e aumento do risco de diabetes tipo 2 e outras doenças cardiometabólicas, reforçando o papel do sono na regulação metabólica.</w:t>
      </w:r>
    </w:p>
    <w:p w:rsidR="000B5910" w:rsidRDefault="000B5910">
      <w:pPr>
        <w:pBdr>
          <w:bottom w:val="single" w:sz="4" w:space="2" w:color="808080"/>
        </w:pBdr>
        <w:spacing w:before="120" w:after="40"/>
      </w:pPr>
    </w:p>
    <w:p w:rsidR="000B5910" w:rsidRPr="00043C0E" w:rsidRDefault="00057F5C">
      <w:pPr>
        <w:spacing w:after="0" w:line="252" w:lineRule="auto"/>
        <w:rPr>
          <w:sz w:val="16"/>
          <w:szCs w:val="16"/>
        </w:rPr>
      </w:pPr>
      <w:r w:rsidRPr="00043C0E">
        <w:rPr>
          <w:color w:val="595959"/>
          <w:sz w:val="16"/>
          <w:szCs w:val="16"/>
          <w:vertAlign w:val="superscript"/>
        </w:rPr>
        <w:t>1</w:t>
      </w:r>
      <w:r w:rsidRPr="00043C0E">
        <w:rPr>
          <w:color w:val="595959"/>
          <w:sz w:val="16"/>
          <w:szCs w:val="16"/>
        </w:rPr>
        <w:t xml:space="preserve"> Pontifícia Universidade Católica do Rio Grande do Sul</w:t>
      </w:r>
    </w:p>
    <w:p w:rsidR="000B5910" w:rsidRDefault="000B5910">
      <w:pPr>
        <w:sectPr w:rsidR="000B5910">
          <w:headerReference w:type="default" r:id="rId93"/>
          <w:footerReference w:type="default" r:id="rId9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GORDURA CORPORAL E GORDURA TRUNCAL ESTÃO ASSOCIADAS AO MAIOR RISCO DE PROGRESSÃO DA DOENÇA RENAL CRÔNICA EM PACIENTES COM DIABETES TIPO 2: UM ESTUDO DE COORTE PROSPECTIVO</w:t>
      </w:r>
    </w:p>
    <w:p w:rsidR="000B5910" w:rsidRPr="00043C0E" w:rsidRDefault="00057F5C">
      <w:pPr>
        <w:spacing w:after="40" w:line="252" w:lineRule="auto"/>
        <w:jc w:val="right"/>
        <w:rPr>
          <w:szCs w:val="21"/>
        </w:rPr>
      </w:pPr>
      <w:r w:rsidRPr="00043C0E">
        <w:rPr>
          <w:color w:val="1A1A1A"/>
          <w:szCs w:val="21"/>
        </w:rPr>
        <w:t>João Henrique Garcia de Almeida</w:t>
      </w:r>
      <w:r w:rsidRPr="00043C0E">
        <w:rPr>
          <w:color w:val="1A1A1A"/>
          <w:szCs w:val="21"/>
          <w:vertAlign w:val="superscript"/>
        </w:rPr>
        <w:t>1</w:t>
      </w:r>
      <w:r w:rsidRPr="00043C0E">
        <w:rPr>
          <w:szCs w:val="21"/>
        </w:rPr>
        <w:br/>
      </w:r>
      <w:r w:rsidRPr="00043C0E">
        <w:rPr>
          <w:color w:val="1A1A1A"/>
          <w:szCs w:val="21"/>
        </w:rPr>
        <w:t>Janaka Karalliedde</w:t>
      </w:r>
      <w:r w:rsidRPr="00043C0E">
        <w:rPr>
          <w:color w:val="1A1A1A"/>
          <w:szCs w:val="21"/>
          <w:vertAlign w:val="superscript"/>
        </w:rPr>
        <w:t>2</w:t>
      </w:r>
      <w:r w:rsidRPr="00043C0E">
        <w:rPr>
          <w:szCs w:val="21"/>
        </w:rPr>
        <w:br/>
      </w:r>
      <w:r w:rsidRPr="00043C0E">
        <w:rPr>
          <w:color w:val="1A1A1A"/>
          <w:szCs w:val="21"/>
        </w:rPr>
        <w:t>Themis Zelmanovitz</w:t>
      </w:r>
      <w:r w:rsidRPr="00043C0E">
        <w:rPr>
          <w:color w:val="1A1A1A"/>
          <w:szCs w:val="21"/>
          <w:vertAlign w:val="superscript"/>
        </w:rPr>
        <w:t>1</w:t>
      </w:r>
    </w:p>
    <w:p w:rsidR="000B5910" w:rsidRDefault="00057F5C">
      <w:pPr>
        <w:spacing w:before="240" w:after="100"/>
      </w:pPr>
      <w:r>
        <w:rPr>
          <w:b/>
          <w:color w:val="1A1A1A"/>
          <w:sz w:val="22"/>
        </w:rPr>
        <w:t>RESUMO</w:t>
      </w:r>
    </w:p>
    <w:p w:rsidR="000B5910" w:rsidRPr="00043C0E" w:rsidRDefault="00057F5C">
      <w:pPr>
        <w:spacing w:after="80"/>
        <w:jc w:val="both"/>
        <w:rPr>
          <w:sz w:val="22"/>
        </w:rPr>
      </w:pPr>
      <w:r w:rsidRPr="00043C0E">
        <w:rPr>
          <w:b/>
          <w:color w:val="1A1A1A"/>
          <w:sz w:val="22"/>
        </w:rPr>
        <w:t>Introdução:</w:t>
      </w:r>
      <w:r w:rsidRPr="00043C0E">
        <w:rPr>
          <w:color w:val="1A1A1A"/>
          <w:sz w:val="22"/>
        </w:rPr>
        <w:t xml:space="preserve"> A progressão da doença renal crônica (DRC) é uma preocupação constante no acompanhamento de indivíduos com diabetes tipo 2, e o excesso de adiposidade, especialmente </w:t>
      </w:r>
      <w:proofErr w:type="gramStart"/>
      <w:r w:rsidRPr="00043C0E">
        <w:rPr>
          <w:color w:val="1A1A1A"/>
          <w:sz w:val="22"/>
        </w:rPr>
        <w:t>a</w:t>
      </w:r>
      <w:proofErr w:type="gramEnd"/>
      <w:r w:rsidRPr="00043C0E">
        <w:rPr>
          <w:color w:val="1A1A1A"/>
          <w:sz w:val="22"/>
        </w:rPr>
        <w:t xml:space="preserve"> adiposidade central é um importante fator de risco para esta complicação. </w:t>
      </w:r>
      <w:proofErr w:type="gramStart"/>
      <w:r w:rsidRPr="00043C0E">
        <w:rPr>
          <w:color w:val="1A1A1A"/>
          <w:sz w:val="22"/>
        </w:rPr>
        <w:t>A</w:t>
      </w:r>
      <w:proofErr w:type="gramEnd"/>
      <w:r w:rsidRPr="00043C0E">
        <w:rPr>
          <w:color w:val="1A1A1A"/>
          <w:sz w:val="22"/>
        </w:rPr>
        <w:t xml:space="preserve"> identificação de marcadores de adiposidade que possam melhor avaliar estes pacientes tem sido de grande relevância. </w:t>
      </w:r>
      <w:r w:rsidRPr="00043C0E">
        <w:rPr>
          <w:b/>
          <w:color w:val="1A1A1A"/>
          <w:sz w:val="22"/>
        </w:rPr>
        <w:t>Objetivo:</w:t>
      </w:r>
      <w:r w:rsidRPr="00043C0E">
        <w:rPr>
          <w:color w:val="1A1A1A"/>
          <w:sz w:val="22"/>
        </w:rPr>
        <w:t xml:space="preserve"> Avaliar a associação entre marcadores de adiposidade (IMC, circunferência da cintura, razão cintura-altura, gordura corporal total e truncal) e a progressão nos grupos de risco de DRC baseado na classificação KDIGO (Kidney Disease Improving Global Outcomes), em indivíduos com diabetes tipo 2. </w:t>
      </w:r>
      <w:r w:rsidRPr="00043C0E">
        <w:rPr>
          <w:b/>
          <w:color w:val="1A1A1A"/>
          <w:sz w:val="22"/>
        </w:rPr>
        <w:t>Métodos:</w:t>
      </w:r>
      <w:r w:rsidRPr="00043C0E">
        <w:rPr>
          <w:color w:val="1A1A1A"/>
          <w:sz w:val="22"/>
        </w:rPr>
        <w:t xml:space="preserve"> Neste estudo prospectivo, pacientes recrutados no ambulatório de Diabete do HCPA foram submetidos a medida da estimativa da gordura corporal por meio de impedância bioelétrica (BIA; InBody 230, Biospace, Korea), e Dual Energy X-Ray Absorptiometry (DXA; Lunar – iDXA; padrão de referência) na avaliação basal. Os pacientes foram categorizados em grupos de risco de progressão para doença renal terminal de acordo com a classificação KDIGO na avaliação basal e no final do seguimento. A </w:t>
      </w:r>
      <w:proofErr w:type="gramStart"/>
      <w:r w:rsidRPr="00043C0E">
        <w:rPr>
          <w:color w:val="1A1A1A"/>
          <w:sz w:val="22"/>
        </w:rPr>
        <w:t>taxa</w:t>
      </w:r>
      <w:proofErr w:type="gramEnd"/>
      <w:r w:rsidRPr="00043C0E">
        <w:rPr>
          <w:color w:val="1A1A1A"/>
          <w:sz w:val="22"/>
        </w:rPr>
        <w:t xml:space="preserve"> de filtração glomerular (TFGe) foi estimada a partir da fórmula CKD-EPI. </w:t>
      </w:r>
      <w:r w:rsidRPr="00043C0E">
        <w:rPr>
          <w:b/>
          <w:color w:val="1A1A1A"/>
          <w:sz w:val="22"/>
        </w:rPr>
        <w:t>Resultados:</w:t>
      </w:r>
      <w:r w:rsidRPr="00043C0E">
        <w:rPr>
          <w:color w:val="1A1A1A"/>
          <w:sz w:val="22"/>
        </w:rPr>
        <w:t xml:space="preserve"> Foram estudados 209 pacientes com diabetes tipo 2 (57%M; idade: 63±9anos) após um tempo médio de seguimento de 6,2 anos. Excluindo os indivíduos de muito alto risco na avaliação basal, 78 (40% dos 195 pacientes) apresentaram piora no status de risco KDIGO. Esses pacientes tinham maior tempo de acompanhamento, idade e níveis de pressão arterial sistólica, e menores valores de colesterol total sérico, bem como de colesterol HDL (P&lt;0,05 para todos), comparados com o grupo sem piora do status. Em análise multivariada, o % gordura corporal (HR 1,06 [1,01 – 1,11]; P=0,02) e o % gordura truncal (HR 1,07 [1,03 – 1,13]; P=0,003) foram associados a piora no status de risco KDIGO, independente da idade, gênero, uso de inibidores do SRAA, pressão arterial sistólica, colesterol HDL e TFGe e albuminuria basais. </w:t>
      </w:r>
      <w:r w:rsidRPr="00043C0E">
        <w:rPr>
          <w:b/>
          <w:color w:val="1A1A1A"/>
          <w:sz w:val="22"/>
        </w:rPr>
        <w:t>Conclusão:</w:t>
      </w:r>
      <w:r w:rsidRPr="00043C0E">
        <w:rPr>
          <w:color w:val="1A1A1A"/>
          <w:sz w:val="22"/>
        </w:rPr>
        <w:t xml:space="preserve"> Nesta população de pacientes com diabetes tipo 2, ficou evidente a relação entre a gordura corporal e a truncal com o risco de progressão da DRC. Esses marcadores de adiposidade devem ser melhor estudados como preditores de risco para essa complicação.</w:t>
      </w:r>
    </w:p>
    <w:p w:rsidR="000B5910" w:rsidRDefault="000B5910">
      <w:pPr>
        <w:pBdr>
          <w:bottom w:val="single" w:sz="4" w:space="2" w:color="808080"/>
        </w:pBdr>
        <w:spacing w:before="160" w:after="40"/>
      </w:pPr>
    </w:p>
    <w:p w:rsidR="000B5910" w:rsidRPr="00043C0E" w:rsidRDefault="00057F5C">
      <w:pPr>
        <w:spacing w:after="0" w:line="252" w:lineRule="auto"/>
        <w:rPr>
          <w:sz w:val="16"/>
          <w:szCs w:val="16"/>
        </w:rPr>
      </w:pPr>
      <w:r w:rsidRPr="00043C0E">
        <w:rPr>
          <w:color w:val="595959"/>
          <w:sz w:val="16"/>
          <w:szCs w:val="16"/>
          <w:vertAlign w:val="superscript"/>
        </w:rPr>
        <w:t>1</w:t>
      </w:r>
      <w:r w:rsidRPr="00043C0E">
        <w:rPr>
          <w:color w:val="595959"/>
          <w:sz w:val="16"/>
          <w:szCs w:val="16"/>
        </w:rPr>
        <w:t xml:space="preserve"> Universidade Federal do Rio Grande do Sul</w:t>
      </w:r>
    </w:p>
    <w:p w:rsidR="000B5910" w:rsidRPr="00043C0E" w:rsidRDefault="00057F5C">
      <w:pPr>
        <w:spacing w:after="0" w:line="252" w:lineRule="auto"/>
        <w:rPr>
          <w:sz w:val="16"/>
          <w:szCs w:val="16"/>
        </w:rPr>
      </w:pPr>
      <w:r w:rsidRPr="00043C0E">
        <w:rPr>
          <w:color w:val="595959"/>
          <w:sz w:val="16"/>
          <w:szCs w:val="16"/>
          <w:vertAlign w:val="superscript"/>
        </w:rPr>
        <w:t>2</w:t>
      </w:r>
      <w:r w:rsidRPr="00043C0E">
        <w:rPr>
          <w:color w:val="595959"/>
          <w:sz w:val="16"/>
          <w:szCs w:val="16"/>
        </w:rPr>
        <w:t xml:space="preserve"> Kings College London</w:t>
      </w:r>
    </w:p>
    <w:p w:rsidR="000B5910" w:rsidRDefault="000B5910">
      <w:pPr>
        <w:sectPr w:rsidR="000B5910">
          <w:headerReference w:type="default" r:id="rId95"/>
          <w:footerReference w:type="default" r:id="rId96"/>
          <w:pgSz w:w="12240" w:h="15840"/>
          <w:pgMar w:top="1417" w:right="1417" w:bottom="1417" w:left="1417" w:header="680" w:footer="680" w:gutter="0"/>
          <w:cols w:space="720"/>
        </w:sectPr>
      </w:pPr>
    </w:p>
    <w:p w:rsidR="000B5910" w:rsidRPr="00043C0E" w:rsidRDefault="00057F5C">
      <w:pPr>
        <w:spacing w:before="80" w:line="252" w:lineRule="auto"/>
        <w:jc w:val="center"/>
        <w:rPr>
          <w:sz w:val="28"/>
          <w:szCs w:val="28"/>
        </w:rPr>
      </w:pPr>
      <w:r w:rsidRPr="00043C0E">
        <w:rPr>
          <w:b/>
          <w:color w:val="1A1A1A"/>
          <w:sz w:val="28"/>
          <w:szCs w:val="28"/>
        </w:rPr>
        <w:lastRenderedPageBreak/>
        <w:t>EQUAÇÕES USADAS PARA ESTIMAR A TAXA DE FILTRAÇÃO GLOMERULAR: INFLUÊNCIA NO DIAGNÓSTICO E MANEJO DA DOENÇA RENAL DO DIABETES</w:t>
      </w:r>
    </w:p>
    <w:p w:rsidR="000B5910" w:rsidRPr="00043C0E" w:rsidRDefault="00057F5C">
      <w:pPr>
        <w:spacing w:after="40" w:line="252" w:lineRule="auto"/>
        <w:jc w:val="right"/>
        <w:rPr>
          <w:szCs w:val="21"/>
        </w:rPr>
      </w:pPr>
      <w:r w:rsidRPr="00043C0E">
        <w:rPr>
          <w:color w:val="1A1A1A"/>
          <w:szCs w:val="21"/>
        </w:rPr>
        <w:t>Bruna Martins Rocha</w:t>
      </w:r>
      <w:r w:rsidRPr="00043C0E">
        <w:rPr>
          <w:color w:val="1A1A1A"/>
          <w:szCs w:val="21"/>
          <w:vertAlign w:val="superscript"/>
        </w:rPr>
        <w:t>1</w:t>
      </w:r>
      <w:r w:rsidRPr="00043C0E">
        <w:rPr>
          <w:szCs w:val="21"/>
        </w:rPr>
        <w:br/>
      </w:r>
      <w:r w:rsidRPr="00043C0E">
        <w:rPr>
          <w:color w:val="1A1A1A"/>
          <w:szCs w:val="21"/>
        </w:rPr>
        <w:t>Candice Cristine Moro</w:t>
      </w:r>
      <w:r w:rsidRPr="00043C0E">
        <w:rPr>
          <w:color w:val="1A1A1A"/>
          <w:szCs w:val="21"/>
          <w:vertAlign w:val="superscript"/>
        </w:rPr>
        <w:t>1</w:t>
      </w:r>
      <w:r w:rsidRPr="00043C0E">
        <w:rPr>
          <w:szCs w:val="21"/>
        </w:rPr>
        <w:br/>
      </w:r>
      <w:r w:rsidRPr="00043C0E">
        <w:rPr>
          <w:color w:val="1A1A1A"/>
          <w:szCs w:val="21"/>
        </w:rPr>
        <w:t>Liliane Salvador</w:t>
      </w:r>
      <w:r w:rsidRPr="00043C0E">
        <w:rPr>
          <w:color w:val="1A1A1A"/>
          <w:szCs w:val="21"/>
          <w:vertAlign w:val="superscript"/>
        </w:rPr>
        <w:t>2</w:t>
      </w:r>
      <w:r w:rsidRPr="00043C0E">
        <w:rPr>
          <w:szCs w:val="21"/>
        </w:rPr>
        <w:br/>
      </w:r>
      <w:r w:rsidRPr="00043C0E">
        <w:rPr>
          <w:color w:val="1A1A1A"/>
          <w:szCs w:val="21"/>
        </w:rPr>
        <w:t>Pedro Augusto Martins Barcellos</w:t>
      </w:r>
      <w:r w:rsidRPr="00043C0E">
        <w:rPr>
          <w:color w:val="1A1A1A"/>
          <w:szCs w:val="21"/>
          <w:vertAlign w:val="superscript"/>
        </w:rPr>
        <w:t>2</w:t>
      </w:r>
      <w:r w:rsidRPr="00043C0E">
        <w:rPr>
          <w:szCs w:val="21"/>
        </w:rPr>
        <w:br/>
      </w:r>
      <w:r w:rsidRPr="00043C0E">
        <w:rPr>
          <w:color w:val="1A1A1A"/>
          <w:szCs w:val="21"/>
        </w:rPr>
        <w:t>Angélica Dall’Agnol</w:t>
      </w:r>
      <w:r w:rsidRPr="00043C0E">
        <w:rPr>
          <w:color w:val="1A1A1A"/>
          <w:szCs w:val="21"/>
          <w:vertAlign w:val="superscript"/>
        </w:rPr>
        <w:t>2</w:t>
      </w:r>
      <w:r w:rsidRPr="00043C0E">
        <w:rPr>
          <w:szCs w:val="21"/>
        </w:rPr>
        <w:br/>
      </w:r>
      <w:r w:rsidRPr="00043C0E">
        <w:rPr>
          <w:color w:val="1A1A1A"/>
          <w:szCs w:val="21"/>
        </w:rPr>
        <w:t>Sandra Pinho Silveiro</w:t>
      </w:r>
      <w:r w:rsidRPr="00043C0E">
        <w:rPr>
          <w:color w:val="1A1A1A"/>
          <w:szCs w:val="21"/>
          <w:vertAlign w:val="superscript"/>
        </w:rPr>
        <w:t>2</w:t>
      </w:r>
    </w:p>
    <w:p w:rsidR="000B5910" w:rsidRDefault="00057F5C">
      <w:pPr>
        <w:spacing w:before="200" w:after="100"/>
      </w:pPr>
      <w:r>
        <w:rPr>
          <w:b/>
          <w:color w:val="1A1A1A"/>
          <w:sz w:val="22"/>
          <w:szCs w:val="24"/>
        </w:rPr>
        <w:t>RESUMO</w:t>
      </w:r>
    </w:p>
    <w:p w:rsidR="000B5910" w:rsidRPr="00043C0E" w:rsidRDefault="00057F5C">
      <w:pPr>
        <w:spacing w:after="80" w:line="264" w:lineRule="auto"/>
        <w:jc w:val="both"/>
        <w:rPr>
          <w:sz w:val="22"/>
          <w:szCs w:val="21"/>
        </w:rPr>
      </w:pPr>
      <w:r w:rsidRPr="00043C0E">
        <w:rPr>
          <w:b/>
          <w:color w:val="1A1A1A"/>
          <w:sz w:val="22"/>
          <w:szCs w:val="21"/>
        </w:rPr>
        <w:t>Introdução:</w:t>
      </w:r>
      <w:r w:rsidRPr="00043C0E">
        <w:rPr>
          <w:color w:val="1A1A1A"/>
          <w:sz w:val="22"/>
          <w:szCs w:val="21"/>
        </w:rPr>
        <w:t xml:space="preserve"> O diabetes é a principal causa de doença renal crônica (DRC). </w:t>
      </w:r>
      <w:proofErr w:type="gramStart"/>
      <w:r w:rsidRPr="00043C0E">
        <w:rPr>
          <w:color w:val="1A1A1A"/>
          <w:sz w:val="22"/>
          <w:szCs w:val="21"/>
        </w:rPr>
        <w:t>A</w:t>
      </w:r>
      <w:proofErr w:type="gramEnd"/>
      <w:r w:rsidRPr="00043C0E">
        <w:rPr>
          <w:color w:val="1A1A1A"/>
          <w:sz w:val="22"/>
          <w:szCs w:val="21"/>
        </w:rPr>
        <w:t xml:space="preserve"> estimativa acurada da taxa de filtração glomerular (TFGe) é essencial para o diagnóstico e manejo da doença renal do diabetes. </w:t>
      </w:r>
      <w:r w:rsidRPr="00043C0E">
        <w:rPr>
          <w:b/>
          <w:color w:val="1A1A1A"/>
          <w:sz w:val="22"/>
          <w:szCs w:val="21"/>
        </w:rPr>
        <w:t>Objetivo:</w:t>
      </w:r>
      <w:r w:rsidRPr="00043C0E">
        <w:rPr>
          <w:color w:val="1A1A1A"/>
          <w:sz w:val="22"/>
          <w:szCs w:val="21"/>
        </w:rPr>
        <w:t xml:space="preserve"> Avaliar o impacto clínico de três equações (CKD-EPI 2021, CKD-EPI 2009 e EKFC) na estimativa da TFG em pessoas com diabetes, comparando diagnóstico e classificação da DRC, além de elegibilidade para terapias farmacológicas. </w:t>
      </w:r>
      <w:r w:rsidRPr="00043C0E">
        <w:rPr>
          <w:b/>
          <w:color w:val="1A1A1A"/>
          <w:sz w:val="22"/>
          <w:szCs w:val="21"/>
        </w:rPr>
        <w:t xml:space="preserve">Métodos: </w:t>
      </w:r>
      <w:r w:rsidRPr="00043C0E">
        <w:rPr>
          <w:color w:val="1A1A1A"/>
          <w:sz w:val="22"/>
          <w:szCs w:val="21"/>
        </w:rPr>
        <w:t xml:space="preserve">Estudo transversal com análise de prontuários eletrônicos de pacientes com diabetes atendidos em um centro especializado. A TFGe foi calculada a partir da creatinina sérica dosada pelo método de Jaffé. As equações foram comparadas por viés (diferença média entre as equações), análise de Bland-Altman e concordância na estratificação da TFG (coeficiente kappa). Avaliou-se também a prevalência da DRC (TFG &lt; 60 mL/min/1,73 m²) e </w:t>
      </w:r>
      <w:proofErr w:type="gramStart"/>
      <w:r w:rsidRPr="00043C0E">
        <w:rPr>
          <w:color w:val="1A1A1A"/>
          <w:sz w:val="22"/>
          <w:szCs w:val="21"/>
        </w:rPr>
        <w:t>a</w:t>
      </w:r>
      <w:proofErr w:type="gramEnd"/>
      <w:r w:rsidRPr="00043C0E">
        <w:rPr>
          <w:color w:val="1A1A1A"/>
          <w:sz w:val="22"/>
          <w:szCs w:val="21"/>
        </w:rPr>
        <w:t xml:space="preserve"> elegibilidade para uso de inibidores de SGLT-2 e de metformina. Tamanho amostral calculado de 453 participantes para um viés de 9 mL/min/1,73 m2 (poder de 80%, e Î±=5%). </w:t>
      </w:r>
      <w:r w:rsidRPr="00043C0E">
        <w:rPr>
          <w:b/>
          <w:color w:val="1A1A1A"/>
          <w:sz w:val="22"/>
          <w:szCs w:val="21"/>
        </w:rPr>
        <w:t>Resultados:</w:t>
      </w:r>
      <w:r w:rsidRPr="00043C0E">
        <w:rPr>
          <w:color w:val="1A1A1A"/>
          <w:sz w:val="22"/>
          <w:szCs w:val="21"/>
        </w:rPr>
        <w:t xml:space="preserve"> Foram incluídos 521 participantes (60% mulheres; idade 55± 15 anos; 84% brancos; 65% com DM2). A mediana da TFGe foi 83 (58–101), 80 (56–99) e 75 (53–92) mL/min/1,73 m² pelas equações CKD-EPI 2021, CKD-EPI 2009 e EKFC, respectivamente (p&lt;0,001). O viés foi maior em valores mais elevados de TFGe. </w:t>
      </w:r>
      <w:proofErr w:type="gramStart"/>
      <w:r w:rsidRPr="00043C0E">
        <w:rPr>
          <w:color w:val="1A1A1A"/>
          <w:sz w:val="22"/>
          <w:szCs w:val="21"/>
        </w:rPr>
        <w:t>A</w:t>
      </w:r>
      <w:proofErr w:type="gramEnd"/>
      <w:r w:rsidRPr="00043C0E">
        <w:rPr>
          <w:color w:val="1A1A1A"/>
          <w:sz w:val="22"/>
          <w:szCs w:val="21"/>
        </w:rPr>
        <w:t xml:space="preserve"> EKFC tendeu a estimar valores mais baixos de TFG do que as outras equações (viés 7,12 mL/min/1,73 m²). A prevalência de DRC foi maior com </w:t>
      </w:r>
      <w:proofErr w:type="gramStart"/>
      <w:r w:rsidRPr="00043C0E">
        <w:rPr>
          <w:color w:val="1A1A1A"/>
          <w:sz w:val="22"/>
          <w:szCs w:val="21"/>
        </w:rPr>
        <w:t>a</w:t>
      </w:r>
      <w:proofErr w:type="gramEnd"/>
      <w:r w:rsidRPr="00043C0E">
        <w:rPr>
          <w:color w:val="1A1A1A"/>
          <w:sz w:val="22"/>
          <w:szCs w:val="21"/>
        </w:rPr>
        <w:t xml:space="preserve"> EKFC (33%) em comparação à CKD-EPI 2021 (27%) e 2009 (26%). Houve discordância de estadiamento da TFGe em 27% dos casos, com forte concordância entre CKD-EPI 2021 e 2009 (κ=0,834) e concordância moderada nas demais comparações (κ=0,683 para CKD-EPI 2021 vs. EKFC; κ=0,732 CKD-EPI 2009 vs. EKFC). No subgrupo com DM2 (n= 340), maior proporção seria elegível para inibidores de SGLT-2 pela EKFC (38%) em relação à CKD-EPI 2021 (31%) e 2009 (32%). Para a metformina, houve concordância em 91% dos casos; entretanto, </w:t>
      </w:r>
      <w:proofErr w:type="gramStart"/>
      <w:r w:rsidRPr="00043C0E">
        <w:rPr>
          <w:color w:val="1A1A1A"/>
          <w:sz w:val="22"/>
          <w:szCs w:val="21"/>
        </w:rPr>
        <w:t>a</w:t>
      </w:r>
      <w:proofErr w:type="gramEnd"/>
      <w:r w:rsidRPr="00043C0E">
        <w:rPr>
          <w:color w:val="1A1A1A"/>
          <w:sz w:val="22"/>
          <w:szCs w:val="21"/>
        </w:rPr>
        <w:t xml:space="preserve"> EKFC contraindicou o uso em 23 participantes adicionais (TFGe &lt; 30) e, junto à CKD-EPI 2009, classificou mais 10 indivíduos na faixa de ajuste de dose (TFGe 30-44) que apresentaram TFGe &gt; 45 mL/min/1,73 m² pela equação CKD-EPI 2021. </w:t>
      </w:r>
      <w:r w:rsidRPr="00043C0E">
        <w:rPr>
          <w:b/>
          <w:color w:val="1A1A1A"/>
          <w:sz w:val="22"/>
          <w:szCs w:val="21"/>
        </w:rPr>
        <w:t>Conclusão:</w:t>
      </w:r>
      <w:r w:rsidRPr="00043C0E">
        <w:rPr>
          <w:color w:val="1A1A1A"/>
          <w:sz w:val="22"/>
          <w:szCs w:val="21"/>
        </w:rPr>
        <w:t xml:space="preserve"> Diferentes equações de TFGe resultam em discrepâncias clinicamente relevantes na avaliação da função renal de pessoas com diabetes, impactando o diagnóstico de DRC e </w:t>
      </w:r>
      <w:proofErr w:type="gramStart"/>
      <w:r w:rsidRPr="00043C0E">
        <w:rPr>
          <w:color w:val="1A1A1A"/>
          <w:sz w:val="22"/>
          <w:szCs w:val="21"/>
        </w:rPr>
        <w:t>a</w:t>
      </w:r>
      <w:proofErr w:type="gramEnd"/>
      <w:r w:rsidRPr="00043C0E">
        <w:rPr>
          <w:color w:val="1A1A1A"/>
          <w:sz w:val="22"/>
          <w:szCs w:val="21"/>
        </w:rPr>
        <w:t xml:space="preserve"> elegibilidade para terapias farmacológicas.</w:t>
      </w:r>
    </w:p>
    <w:p w:rsidR="000B5910" w:rsidRDefault="000B5910">
      <w:pPr>
        <w:pBdr>
          <w:bottom w:val="single" w:sz="4" w:space="2" w:color="808080"/>
        </w:pBdr>
        <w:spacing w:before="120" w:after="40"/>
      </w:pPr>
    </w:p>
    <w:p w:rsidR="000B5910" w:rsidRPr="00181E05" w:rsidRDefault="00057F5C">
      <w:pPr>
        <w:spacing w:after="0" w:line="252" w:lineRule="auto"/>
        <w:rPr>
          <w:sz w:val="16"/>
          <w:szCs w:val="16"/>
        </w:rPr>
      </w:pPr>
      <w:r w:rsidRPr="00181E05">
        <w:rPr>
          <w:color w:val="595959"/>
          <w:sz w:val="16"/>
          <w:szCs w:val="16"/>
          <w:vertAlign w:val="superscript"/>
        </w:rPr>
        <w:t>1</w:t>
      </w:r>
      <w:r w:rsidRPr="00181E05">
        <w:rPr>
          <w:color w:val="595959"/>
          <w:sz w:val="16"/>
          <w:szCs w:val="16"/>
        </w:rPr>
        <w:t xml:space="preserve"> Hospital de Clínicas de Porto Alegre</w:t>
      </w:r>
    </w:p>
    <w:p w:rsidR="000B5910" w:rsidRPr="00181E05" w:rsidRDefault="00057F5C">
      <w:pPr>
        <w:spacing w:after="0" w:line="252" w:lineRule="auto"/>
        <w:rPr>
          <w:sz w:val="16"/>
          <w:szCs w:val="16"/>
        </w:rPr>
      </w:pPr>
      <w:r w:rsidRPr="00181E05">
        <w:rPr>
          <w:color w:val="595959"/>
          <w:sz w:val="16"/>
          <w:szCs w:val="16"/>
          <w:vertAlign w:val="superscript"/>
        </w:rPr>
        <w:t>2</w:t>
      </w:r>
      <w:r w:rsidRPr="00181E05">
        <w:rPr>
          <w:color w:val="595959"/>
          <w:sz w:val="16"/>
          <w:szCs w:val="16"/>
        </w:rPr>
        <w:t xml:space="preserve"> Universidade Federal do Rio Grande do Sul</w:t>
      </w:r>
    </w:p>
    <w:p w:rsidR="000B5910" w:rsidRPr="00181E05" w:rsidRDefault="000B5910">
      <w:pPr>
        <w:rPr>
          <w:sz w:val="16"/>
          <w:szCs w:val="16"/>
        </w:rPr>
        <w:sectPr w:rsidR="000B5910" w:rsidRPr="00181E05">
          <w:headerReference w:type="default" r:id="rId97"/>
          <w:footerReference w:type="default" r:id="rId9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EDUCAÇÃO PERMANENTE PARA MÉDICOS SOBRE TRATAMENTO MEDICAMENTOSO DE PESSOAS COM DIABETES TIPO 2: UMA ESTRATÉGIA REPRODUTÍVEL E BASEADA EM EVIDÊNCIAS PARA QUALIFICAÇÃO DO MANEJO NA ATENÇÃO PRIMÁRIA À SAÚDE</w:t>
      </w:r>
    </w:p>
    <w:p w:rsidR="000B5910" w:rsidRPr="00181E05" w:rsidRDefault="00057F5C">
      <w:pPr>
        <w:spacing w:after="40" w:line="252" w:lineRule="auto"/>
        <w:jc w:val="right"/>
        <w:rPr>
          <w:szCs w:val="21"/>
        </w:rPr>
      </w:pPr>
      <w:r w:rsidRPr="00181E05">
        <w:rPr>
          <w:color w:val="1A1A1A"/>
          <w:szCs w:val="21"/>
        </w:rPr>
        <w:t>Lucas Abreu Caversan</w:t>
      </w:r>
      <w:r w:rsidRPr="00181E05">
        <w:rPr>
          <w:color w:val="1A1A1A"/>
          <w:szCs w:val="21"/>
          <w:vertAlign w:val="superscript"/>
        </w:rPr>
        <w:t>1</w:t>
      </w:r>
      <w:r w:rsidRPr="00181E05">
        <w:rPr>
          <w:szCs w:val="21"/>
        </w:rPr>
        <w:br/>
      </w:r>
      <w:r w:rsidRPr="00181E05">
        <w:rPr>
          <w:color w:val="1A1A1A"/>
          <w:szCs w:val="21"/>
        </w:rPr>
        <w:t>Ângela Paveglio Teixeira Farias</w:t>
      </w:r>
      <w:r w:rsidRPr="00181E05">
        <w:rPr>
          <w:color w:val="1A1A1A"/>
          <w:szCs w:val="21"/>
          <w:vertAlign w:val="superscript"/>
        </w:rPr>
        <w:t>1</w:t>
      </w:r>
      <w:r w:rsidRPr="00181E05">
        <w:rPr>
          <w:szCs w:val="21"/>
        </w:rPr>
        <w:br/>
      </w:r>
      <w:r w:rsidRPr="00181E05">
        <w:rPr>
          <w:color w:val="1A1A1A"/>
          <w:szCs w:val="21"/>
        </w:rPr>
        <w:t>Rosa Levandovski</w:t>
      </w:r>
      <w:r w:rsidRPr="00181E05">
        <w:rPr>
          <w:color w:val="1A1A1A"/>
          <w:szCs w:val="21"/>
          <w:vertAlign w:val="superscript"/>
        </w:rPr>
        <w:t>1</w:t>
      </w:r>
      <w:r w:rsidRPr="00181E05">
        <w:rPr>
          <w:szCs w:val="21"/>
        </w:rPr>
        <w:br/>
      </w:r>
      <w:r w:rsidRPr="00181E05">
        <w:rPr>
          <w:color w:val="1A1A1A"/>
          <w:szCs w:val="21"/>
        </w:rPr>
        <w:t>Margarita Silva Diercks</w:t>
      </w:r>
      <w:r w:rsidRPr="00181E05">
        <w:rPr>
          <w:color w:val="1A1A1A"/>
          <w:szCs w:val="21"/>
          <w:vertAlign w:val="superscript"/>
        </w:rPr>
        <w:t>1</w:t>
      </w:r>
      <w:r w:rsidRPr="00181E05">
        <w:rPr>
          <w:szCs w:val="21"/>
        </w:rPr>
        <w:br/>
      </w:r>
      <w:r w:rsidRPr="00181E05">
        <w:rPr>
          <w:color w:val="1A1A1A"/>
          <w:szCs w:val="21"/>
        </w:rPr>
        <w:t>Scheila Mai</w:t>
      </w:r>
      <w:r w:rsidRPr="00181E05">
        <w:rPr>
          <w:color w:val="1A1A1A"/>
          <w:szCs w:val="21"/>
          <w:vertAlign w:val="superscript"/>
        </w:rPr>
        <w:t>1</w:t>
      </w:r>
      <w:r w:rsidRPr="00181E05">
        <w:rPr>
          <w:szCs w:val="21"/>
        </w:rPr>
        <w:br/>
      </w:r>
      <w:r w:rsidRPr="00181E05">
        <w:rPr>
          <w:color w:val="1A1A1A"/>
          <w:szCs w:val="21"/>
        </w:rPr>
        <w:t>Fernanda Miranda Seixas Einloft</w:t>
      </w:r>
      <w:r w:rsidRPr="00181E05">
        <w:rPr>
          <w:color w:val="1A1A1A"/>
          <w:szCs w:val="21"/>
          <w:vertAlign w:val="superscript"/>
        </w:rPr>
        <w:t>1</w:t>
      </w:r>
      <w:r w:rsidRPr="00181E05">
        <w:rPr>
          <w:szCs w:val="21"/>
        </w:rPr>
        <w:br/>
      </w:r>
      <w:r w:rsidRPr="00181E05">
        <w:rPr>
          <w:color w:val="1A1A1A"/>
          <w:szCs w:val="21"/>
        </w:rPr>
        <w:t>Lena Azeredo de Lima</w:t>
      </w:r>
      <w:r w:rsidRPr="00181E05">
        <w:rPr>
          <w:color w:val="1A1A1A"/>
          <w:szCs w:val="21"/>
          <w:vertAlign w:val="superscript"/>
        </w:rPr>
        <w:t>1</w:t>
      </w:r>
      <w:r w:rsidRPr="00181E05">
        <w:rPr>
          <w:szCs w:val="21"/>
        </w:rPr>
        <w:br/>
      </w:r>
      <w:r w:rsidRPr="00181E05">
        <w:rPr>
          <w:color w:val="1A1A1A"/>
          <w:szCs w:val="21"/>
        </w:rPr>
        <w:t>Deivid Vieira Silveira</w:t>
      </w:r>
      <w:r w:rsidRPr="00181E05">
        <w:rPr>
          <w:color w:val="1A1A1A"/>
          <w:szCs w:val="21"/>
          <w:vertAlign w:val="superscript"/>
        </w:rPr>
        <w:t>1</w:t>
      </w:r>
      <w:r w:rsidRPr="00181E05">
        <w:rPr>
          <w:szCs w:val="21"/>
        </w:rPr>
        <w:br/>
      </w:r>
      <w:r w:rsidRPr="00181E05">
        <w:rPr>
          <w:color w:val="1A1A1A"/>
          <w:szCs w:val="21"/>
        </w:rPr>
        <w:t>Laura Machado Scott</w:t>
      </w:r>
      <w:r w:rsidRPr="00181E05">
        <w:rPr>
          <w:color w:val="1A1A1A"/>
          <w:szCs w:val="21"/>
          <w:vertAlign w:val="superscript"/>
        </w:rPr>
        <w:t>1</w:t>
      </w:r>
    </w:p>
    <w:p w:rsidR="000B5910" w:rsidRDefault="00057F5C">
      <w:pPr>
        <w:spacing w:before="200" w:after="100"/>
      </w:pPr>
      <w:r>
        <w:rPr>
          <w:b/>
          <w:color w:val="1A1A1A"/>
          <w:sz w:val="22"/>
          <w:szCs w:val="24"/>
        </w:rPr>
        <w:t>RESUMO</w:t>
      </w:r>
    </w:p>
    <w:p w:rsidR="000B5910" w:rsidRPr="00181E05" w:rsidRDefault="00057F5C">
      <w:pPr>
        <w:spacing w:after="80" w:line="264" w:lineRule="auto"/>
        <w:jc w:val="both"/>
        <w:rPr>
          <w:sz w:val="22"/>
          <w:szCs w:val="21"/>
        </w:rPr>
      </w:pPr>
      <w:r w:rsidRPr="00181E05">
        <w:rPr>
          <w:b/>
          <w:color w:val="1A1A1A"/>
          <w:sz w:val="22"/>
          <w:szCs w:val="21"/>
        </w:rPr>
        <w:t xml:space="preserve">Introdução: </w:t>
      </w:r>
      <w:proofErr w:type="gramStart"/>
      <w:r w:rsidRPr="00181E05">
        <w:rPr>
          <w:color w:val="1A1A1A"/>
          <w:sz w:val="22"/>
          <w:szCs w:val="21"/>
        </w:rPr>
        <w:t>A</w:t>
      </w:r>
      <w:proofErr w:type="gramEnd"/>
      <w:r w:rsidRPr="00181E05">
        <w:rPr>
          <w:color w:val="1A1A1A"/>
          <w:sz w:val="22"/>
          <w:szCs w:val="21"/>
        </w:rPr>
        <w:t xml:space="preserve"> Educação Permanente em Saúde contribui na qualificação e transformação das práticas em saúde. O Grupo de Trabalho para o Cuidado das Pessoas com Condições Crônicas, institucional e interprofissional, elaborou o Guia do Cuidado, que sistematiza e direciona a prática do cuidado, para dar suporte </w:t>
      </w:r>
      <w:proofErr w:type="gramStart"/>
      <w:r w:rsidRPr="00181E05">
        <w:rPr>
          <w:color w:val="1A1A1A"/>
          <w:sz w:val="22"/>
          <w:szCs w:val="21"/>
        </w:rPr>
        <w:t>a</w:t>
      </w:r>
      <w:proofErr w:type="gramEnd"/>
      <w:r w:rsidRPr="00181E05">
        <w:rPr>
          <w:color w:val="1A1A1A"/>
          <w:sz w:val="22"/>
          <w:szCs w:val="21"/>
        </w:rPr>
        <w:t xml:space="preserve"> atividades formativas e decisões das equipes interprofissionais da Atenção Primária à Saúde (APS). </w:t>
      </w:r>
      <w:r w:rsidRPr="00181E05">
        <w:rPr>
          <w:b/>
          <w:color w:val="1A1A1A"/>
          <w:sz w:val="22"/>
          <w:szCs w:val="21"/>
        </w:rPr>
        <w:t xml:space="preserve">Objetivo: </w:t>
      </w:r>
      <w:r w:rsidRPr="00181E05">
        <w:rPr>
          <w:color w:val="1A1A1A"/>
          <w:sz w:val="22"/>
          <w:szCs w:val="21"/>
        </w:rPr>
        <w:t xml:space="preserve">Capacitar médicos quanto ao manejo farmacológico de Diabetes Mellitus com referencial teórico próprio e aplicabilidade na prática clínica da APS. </w:t>
      </w:r>
      <w:r w:rsidRPr="00181E05">
        <w:rPr>
          <w:b/>
          <w:color w:val="1A1A1A"/>
          <w:sz w:val="22"/>
          <w:szCs w:val="21"/>
        </w:rPr>
        <w:t>Métodos:</w:t>
      </w:r>
      <w:r w:rsidRPr="00181E05">
        <w:rPr>
          <w:color w:val="1A1A1A"/>
          <w:sz w:val="22"/>
          <w:szCs w:val="21"/>
        </w:rPr>
        <w:t xml:space="preserve"> Foi elaborado um curso de capacitação presencial para médicos da APS, integrando o programa de educação permanente institucional. Foi baseado no Guia do Cuidado da Pessoa com Hipertensão Arterial Sistêmica e Diabetes Mellitus Tipo 2 na Atenção Primária à Saúde, de autoria do grupo, atualizado segundo as diretrizes clínicas nacionais e internacionais publicadas em 2025. Cada edição do curso teve duração de 8 horas, dividido em 2 encontros de 4 horas cada, com intervalo de 30 dias. Para o primeiro encontro foi escolhido um atendimento clínico com enfoque em antidiabéticos orais, observando estratificação de risco cardiovascular, idade, índice de massa corporal e dislipidemia. No segundo encontro foi abordada </w:t>
      </w:r>
      <w:proofErr w:type="gramStart"/>
      <w:r w:rsidRPr="00181E05">
        <w:rPr>
          <w:color w:val="1A1A1A"/>
          <w:sz w:val="22"/>
          <w:szCs w:val="21"/>
        </w:rPr>
        <w:t>a</w:t>
      </w:r>
      <w:proofErr w:type="gramEnd"/>
      <w:r w:rsidRPr="00181E05">
        <w:rPr>
          <w:color w:val="1A1A1A"/>
          <w:sz w:val="22"/>
          <w:szCs w:val="21"/>
        </w:rPr>
        <w:t xml:space="preserve"> insulinização. Foram utilizadas metodologias ativas de ensino e aprendizagem, Team-Based Learning e caso clínico comentado. Ocorreu divisão aleatória em 5 subgrupos no primeiro encontro e por afinidade no seguinte, onde foram respondidas questões referentes ao manejo medicamentoso. Estabelecido consenso de respostas no debate no grande grupo e feedback baseado no Guia. Ocorreu treinamento para ajustes glicêmicos e manuseio de dispositivos de aplicação de insulina. Informou-se sobre fluxo de obtenção de insumos. Foi respondido formulário indicando sugestões e impactos na prática futura. </w:t>
      </w:r>
      <w:r w:rsidRPr="00181E05">
        <w:rPr>
          <w:b/>
          <w:color w:val="1A1A1A"/>
          <w:sz w:val="22"/>
          <w:szCs w:val="21"/>
        </w:rPr>
        <w:t>Resultados:</w:t>
      </w:r>
      <w:r w:rsidRPr="00181E05">
        <w:rPr>
          <w:color w:val="1A1A1A"/>
          <w:sz w:val="22"/>
          <w:szCs w:val="21"/>
        </w:rPr>
        <w:t xml:space="preserve"> Participaram 102 pessoas. As respostas do formulário destacaram a relevância do curso como qualificador da prática profissional, contribuíram para o aperfeiçoamento da metodologia para o segundo encontro e reforçaram </w:t>
      </w:r>
      <w:proofErr w:type="gramStart"/>
      <w:r w:rsidRPr="00181E05">
        <w:rPr>
          <w:color w:val="1A1A1A"/>
          <w:sz w:val="22"/>
          <w:szCs w:val="21"/>
        </w:rPr>
        <w:t>a</w:t>
      </w:r>
      <w:proofErr w:type="gramEnd"/>
      <w:r w:rsidRPr="00181E05">
        <w:rPr>
          <w:color w:val="1A1A1A"/>
          <w:sz w:val="22"/>
          <w:szCs w:val="21"/>
        </w:rPr>
        <w:t xml:space="preserve"> importância do Guia como norteador para o debate. A comparação das edições do curso confirmou sua reprodutibilidade. </w:t>
      </w:r>
      <w:r w:rsidRPr="00181E05">
        <w:rPr>
          <w:b/>
          <w:color w:val="1A1A1A"/>
          <w:sz w:val="22"/>
          <w:szCs w:val="21"/>
        </w:rPr>
        <w:t>Conclusão:</w:t>
      </w:r>
      <w:r w:rsidRPr="00181E05">
        <w:rPr>
          <w:color w:val="1A1A1A"/>
          <w:sz w:val="22"/>
          <w:szCs w:val="21"/>
        </w:rPr>
        <w:t xml:space="preserve"> A educação permanente possibilita aperfeiçoar processos de cuidado nas doenças crônicas. A replicação simultânea do curso, as discussões clínicas e </w:t>
      </w:r>
      <w:proofErr w:type="gramStart"/>
      <w:r w:rsidRPr="00181E05">
        <w:rPr>
          <w:color w:val="1A1A1A"/>
          <w:sz w:val="22"/>
          <w:szCs w:val="21"/>
        </w:rPr>
        <w:t>a</w:t>
      </w:r>
      <w:proofErr w:type="gramEnd"/>
      <w:r w:rsidRPr="00181E05">
        <w:rPr>
          <w:color w:val="1A1A1A"/>
          <w:sz w:val="22"/>
          <w:szCs w:val="21"/>
        </w:rPr>
        <w:t xml:space="preserve"> análise das respostas do formulário, consolida a reprodutibilidade para capacitações futuras. </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Grupo Hospitalar Conceição</w:t>
      </w:r>
    </w:p>
    <w:p w:rsidR="000B5910" w:rsidRDefault="000B5910">
      <w:pPr>
        <w:sectPr w:rsidR="000B5910">
          <w:headerReference w:type="default" r:id="rId99"/>
          <w:footerReference w:type="default" r:id="rId10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PERFIL EPIDEMIOLÓGICO E CARÁTER DAS INTERNAÇÕES POR AMPUTAÇÃO DE MEMBROS INFERIORES EM DIABÉTICOS NO RIO GRANDE DO SUL (2023)</w:t>
      </w:r>
    </w:p>
    <w:p w:rsidR="000B5910" w:rsidRPr="00181E05" w:rsidRDefault="00057F5C">
      <w:pPr>
        <w:spacing w:after="40" w:line="252" w:lineRule="auto"/>
        <w:jc w:val="right"/>
        <w:rPr>
          <w:szCs w:val="21"/>
        </w:rPr>
      </w:pPr>
      <w:r w:rsidRPr="00181E05">
        <w:rPr>
          <w:color w:val="1A1A1A"/>
          <w:szCs w:val="21"/>
        </w:rPr>
        <w:t>João Vicente Parmigiani</w:t>
      </w:r>
      <w:r w:rsidRPr="00181E05">
        <w:rPr>
          <w:color w:val="1A1A1A"/>
          <w:szCs w:val="21"/>
          <w:vertAlign w:val="superscript"/>
        </w:rPr>
        <w:t>1</w:t>
      </w:r>
      <w:r w:rsidRPr="00181E05">
        <w:rPr>
          <w:szCs w:val="21"/>
        </w:rPr>
        <w:br/>
      </w:r>
      <w:r w:rsidRPr="00181E05">
        <w:rPr>
          <w:color w:val="1A1A1A"/>
          <w:szCs w:val="21"/>
        </w:rPr>
        <w:t>Vicente Varal Zanchin</w:t>
      </w:r>
      <w:r w:rsidRPr="00181E05">
        <w:rPr>
          <w:color w:val="1A1A1A"/>
          <w:szCs w:val="21"/>
          <w:vertAlign w:val="superscript"/>
        </w:rPr>
        <w:t>2</w:t>
      </w:r>
      <w:r w:rsidRPr="00181E05">
        <w:rPr>
          <w:szCs w:val="21"/>
        </w:rPr>
        <w:br/>
      </w:r>
      <w:r w:rsidRPr="00181E05">
        <w:rPr>
          <w:color w:val="1A1A1A"/>
          <w:szCs w:val="21"/>
        </w:rPr>
        <w:t>Thiago Knebel Backes</w:t>
      </w:r>
      <w:r w:rsidRPr="00181E05">
        <w:rPr>
          <w:color w:val="1A1A1A"/>
          <w:szCs w:val="21"/>
          <w:vertAlign w:val="superscript"/>
        </w:rPr>
        <w:t>1</w:t>
      </w:r>
      <w:r w:rsidRPr="00181E05">
        <w:rPr>
          <w:szCs w:val="21"/>
        </w:rPr>
        <w:br/>
      </w:r>
      <w:r w:rsidRPr="00181E05">
        <w:rPr>
          <w:color w:val="1A1A1A"/>
          <w:szCs w:val="21"/>
        </w:rPr>
        <w:t>Tales Benck De Moraes</w:t>
      </w:r>
      <w:r w:rsidRPr="00181E05">
        <w:rPr>
          <w:color w:val="1A1A1A"/>
          <w:szCs w:val="21"/>
          <w:vertAlign w:val="superscript"/>
        </w:rPr>
        <w:t>1</w:t>
      </w:r>
      <w:r w:rsidRPr="00181E05">
        <w:rPr>
          <w:szCs w:val="21"/>
        </w:rPr>
        <w:br/>
      </w:r>
      <w:r w:rsidRPr="00181E05">
        <w:rPr>
          <w:color w:val="1A1A1A"/>
          <w:szCs w:val="21"/>
        </w:rPr>
        <w:t>Pedro Stefani Mainardi</w:t>
      </w:r>
      <w:r w:rsidRPr="00181E05">
        <w:rPr>
          <w:color w:val="1A1A1A"/>
          <w:szCs w:val="21"/>
          <w:vertAlign w:val="superscript"/>
        </w:rPr>
        <w:t>1</w:t>
      </w:r>
      <w:r w:rsidRPr="00181E05">
        <w:rPr>
          <w:szCs w:val="21"/>
        </w:rPr>
        <w:br/>
      </w:r>
      <w:r w:rsidRPr="00181E05">
        <w:rPr>
          <w:color w:val="1A1A1A"/>
          <w:szCs w:val="21"/>
        </w:rPr>
        <w:t>Lucas Henrique Dill</w:t>
      </w:r>
      <w:r w:rsidRPr="00181E05">
        <w:rPr>
          <w:color w:val="1A1A1A"/>
          <w:szCs w:val="21"/>
          <w:vertAlign w:val="superscript"/>
        </w:rPr>
        <w:t>1</w:t>
      </w:r>
    </w:p>
    <w:p w:rsidR="000B5910" w:rsidRDefault="00057F5C">
      <w:pPr>
        <w:spacing w:before="240" w:after="100"/>
      </w:pPr>
      <w:r>
        <w:rPr>
          <w:b/>
          <w:color w:val="1A1A1A"/>
          <w:sz w:val="22"/>
        </w:rPr>
        <w:t>RESUMO</w:t>
      </w:r>
    </w:p>
    <w:p w:rsidR="000B5910" w:rsidRPr="00181E05" w:rsidRDefault="00057F5C">
      <w:pPr>
        <w:spacing w:after="80"/>
        <w:jc w:val="both"/>
        <w:rPr>
          <w:sz w:val="22"/>
        </w:rPr>
      </w:pPr>
      <w:r w:rsidRPr="00181E05">
        <w:rPr>
          <w:b/>
          <w:color w:val="1A1A1A"/>
          <w:sz w:val="22"/>
        </w:rPr>
        <w:t>Introdução:</w:t>
      </w:r>
      <w:r w:rsidRPr="00181E05">
        <w:rPr>
          <w:color w:val="1A1A1A"/>
          <w:sz w:val="22"/>
        </w:rPr>
        <w:t xml:space="preserve"> O Diabetes Mellitus é um grande desafio de saúde pública. Sua complicação mais devastadora é o Pé Diabético, principal causa de amputações não traumáticas de membros inferiores no Brasil, gerando perda na qualidade de vida e altos custos ao Estado. Sendo a amputação um desfecho teoricamente evitável, analisar o caráter dessas internações, se eletivas ou emergenciais, funciona como termômetro da eficácia da Atenção Primária à Saúde na prevenção do agravo. </w:t>
      </w:r>
      <w:r w:rsidRPr="00181E05">
        <w:rPr>
          <w:b/>
          <w:color w:val="1A1A1A"/>
          <w:sz w:val="22"/>
        </w:rPr>
        <w:t>Objetivo</w:t>
      </w:r>
      <w:r w:rsidRPr="00181E05">
        <w:rPr>
          <w:color w:val="1A1A1A"/>
          <w:sz w:val="22"/>
        </w:rPr>
        <w:t xml:space="preserve">: Analisar o perfil epidemiológico e o caráter das internações por amputações de membros inferiores associadas ao diagnóstico de Diabetes Mellitus no estado do Rio Grande do Sul em 2023. </w:t>
      </w:r>
      <w:r w:rsidRPr="00181E05">
        <w:rPr>
          <w:b/>
          <w:color w:val="1A1A1A"/>
          <w:sz w:val="22"/>
        </w:rPr>
        <w:t xml:space="preserve">Métodos: </w:t>
      </w:r>
      <w:r w:rsidRPr="00181E05">
        <w:rPr>
          <w:color w:val="1A1A1A"/>
          <w:sz w:val="22"/>
        </w:rPr>
        <w:t xml:space="preserve">Avaliou-se o perfil sociodemográfico e os indicadores de impacto hospitalar, como o tempo médio de permanência e a letalidade </w:t>
      </w:r>
      <w:proofErr w:type="gramStart"/>
      <w:r w:rsidRPr="00181E05">
        <w:rPr>
          <w:color w:val="1A1A1A"/>
          <w:sz w:val="22"/>
        </w:rPr>
        <w:t>associada.Metodologia</w:t>
      </w:r>
      <w:proofErr w:type="gramEnd"/>
      <w:r w:rsidRPr="00181E05">
        <w:rPr>
          <w:color w:val="1A1A1A"/>
          <w:sz w:val="22"/>
        </w:rPr>
        <w:t xml:space="preserve">: Trata-se de estudo descritivo, transversal e retrospectivo. </w:t>
      </w:r>
      <w:proofErr w:type="gramStart"/>
      <w:r w:rsidRPr="00181E05">
        <w:rPr>
          <w:color w:val="1A1A1A"/>
          <w:sz w:val="22"/>
        </w:rPr>
        <w:t>A</w:t>
      </w:r>
      <w:proofErr w:type="gramEnd"/>
      <w:r w:rsidRPr="00181E05">
        <w:rPr>
          <w:color w:val="1A1A1A"/>
          <w:sz w:val="22"/>
        </w:rPr>
        <w:t xml:space="preserve"> extração utilizou microdados das Autorizações de Internação Hospitalar do Departamento de Informática do Sistema Único de Saúde, processados via linguagem Python. </w:t>
      </w:r>
      <w:proofErr w:type="gramStart"/>
      <w:r w:rsidRPr="00181E05">
        <w:rPr>
          <w:color w:val="1A1A1A"/>
          <w:sz w:val="22"/>
        </w:rPr>
        <w:t>A</w:t>
      </w:r>
      <w:proofErr w:type="gramEnd"/>
      <w:r w:rsidRPr="00181E05">
        <w:rPr>
          <w:color w:val="1A1A1A"/>
          <w:sz w:val="22"/>
        </w:rPr>
        <w:t xml:space="preserve"> amostra incluiu pacientes com diagnóstico principal de Diabetes Mellitus submetidos à amputação de membros inferiores. As variáveis analisadas foram o perfil demográfico, o tempo de permanência, a letalidade e o caráter da internação. </w:t>
      </w:r>
      <w:r w:rsidRPr="00181E05">
        <w:rPr>
          <w:b/>
          <w:color w:val="1A1A1A"/>
          <w:sz w:val="22"/>
        </w:rPr>
        <w:t>Resultados</w:t>
      </w:r>
      <w:r w:rsidRPr="00181E05">
        <w:rPr>
          <w:color w:val="1A1A1A"/>
          <w:sz w:val="22"/>
        </w:rPr>
        <w:t xml:space="preserve">: Foram analisadas 917 internações, com predomínio do sexo masculino (71,7%; n=658) sobre o feminino (28,3%; n=259) e média de idade de 63,1 anos. O tempo médio de permanência hospitalar foi de 8,3 dias, com letalidade intra-hospitalar de 3,7% (34 óbitos). Constatou-se de forma alarmante que 83,3% (n=764) das internações ocorreram em caráter de urgência ou emergência, enquanto apenas 16,7% (n=153) foram eletivas. </w:t>
      </w:r>
      <w:r w:rsidRPr="00181E05">
        <w:rPr>
          <w:b/>
          <w:color w:val="1A1A1A"/>
          <w:sz w:val="22"/>
        </w:rPr>
        <w:t>Conclusão</w:t>
      </w:r>
      <w:r w:rsidRPr="00181E05">
        <w:rPr>
          <w:color w:val="1A1A1A"/>
          <w:sz w:val="22"/>
        </w:rPr>
        <w:t xml:space="preserve">: Os dados revelam que o sistema atua predominantemente apagando incêndios. O fato de a grande maioria das amputações ocorrer em urgência evidencia falhas críticas na linha de cuidado preventivo do Sistema Único de Saúde. As úlceras não são diagnosticadas precocemente nos ambulatórios, restando </w:t>
      </w:r>
      <w:proofErr w:type="gramStart"/>
      <w:r w:rsidRPr="00181E05">
        <w:rPr>
          <w:color w:val="1A1A1A"/>
          <w:sz w:val="22"/>
        </w:rPr>
        <w:t>a</w:t>
      </w:r>
      <w:proofErr w:type="gramEnd"/>
      <w:r w:rsidRPr="00181E05">
        <w:rPr>
          <w:color w:val="1A1A1A"/>
          <w:sz w:val="22"/>
        </w:rPr>
        <w:t xml:space="preserve"> amputação imediata perante quadros avançados. A prevalência masculina aponta para a histórica baixa adesão às consultas de rotina. É urgente implementar protocolos rigorosos de rastreamento na Atenção Primária para transformar urgências mutilantes em tratamentos preventivos.</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De Passo Fundo</w:t>
      </w:r>
    </w:p>
    <w:p w:rsidR="000B5910" w:rsidRDefault="00057F5C">
      <w:pPr>
        <w:spacing w:after="0" w:line="252" w:lineRule="auto"/>
      </w:pPr>
      <w:r>
        <w:rPr>
          <w:color w:val="595959"/>
          <w:sz w:val="13"/>
          <w:vertAlign w:val="superscript"/>
        </w:rPr>
        <w:t>2</w:t>
      </w:r>
      <w:r>
        <w:rPr>
          <w:color w:val="595959"/>
          <w:sz w:val="17"/>
        </w:rPr>
        <w:t xml:space="preserve"> Universidade de Passo Fundo</w:t>
      </w:r>
    </w:p>
    <w:p w:rsidR="000B5910" w:rsidRDefault="000B5910">
      <w:pPr>
        <w:sectPr w:rsidR="000B5910">
          <w:headerReference w:type="default" r:id="rId101"/>
          <w:footerReference w:type="default" r:id="rId10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ABORDAGEM INTERPROFISSIONAL INTENSIVA NA ATENÇÃO PRIMÁRIA À SAÚDE PARA O TRATAMENTO DO DIABETES TIPO 2 EM PESSOA CRONICAMENTE DESCOMPENSADA E COM COMPLICAÇÕES MÚLTIPLAS: UM RELATO DE CASO</w:t>
      </w:r>
    </w:p>
    <w:p w:rsidR="000B5910" w:rsidRPr="00181E05" w:rsidRDefault="00057F5C">
      <w:pPr>
        <w:spacing w:after="40" w:line="252" w:lineRule="auto"/>
        <w:jc w:val="right"/>
        <w:rPr>
          <w:szCs w:val="21"/>
        </w:rPr>
      </w:pPr>
      <w:r w:rsidRPr="00181E05">
        <w:rPr>
          <w:color w:val="1A1A1A"/>
          <w:szCs w:val="21"/>
        </w:rPr>
        <w:t>Lucas Abreu Caversan</w:t>
      </w:r>
      <w:r w:rsidRPr="00181E05">
        <w:rPr>
          <w:color w:val="1A1A1A"/>
          <w:szCs w:val="21"/>
          <w:vertAlign w:val="superscript"/>
        </w:rPr>
        <w:t>1</w:t>
      </w:r>
      <w:r w:rsidRPr="00181E05">
        <w:rPr>
          <w:szCs w:val="21"/>
        </w:rPr>
        <w:br/>
      </w:r>
      <w:r w:rsidRPr="00181E05">
        <w:rPr>
          <w:color w:val="1A1A1A"/>
          <w:szCs w:val="21"/>
        </w:rPr>
        <w:t>Matheus Büttner Borges</w:t>
      </w:r>
      <w:r w:rsidRPr="00181E05">
        <w:rPr>
          <w:color w:val="1A1A1A"/>
          <w:szCs w:val="21"/>
          <w:vertAlign w:val="superscript"/>
        </w:rPr>
        <w:t>1</w:t>
      </w:r>
      <w:r w:rsidRPr="00181E05">
        <w:rPr>
          <w:szCs w:val="21"/>
        </w:rPr>
        <w:br/>
      </w:r>
      <w:r w:rsidRPr="00181E05">
        <w:rPr>
          <w:color w:val="1A1A1A"/>
          <w:szCs w:val="21"/>
        </w:rPr>
        <w:t>Tailia Reginato Martins</w:t>
      </w:r>
      <w:r w:rsidRPr="00181E05">
        <w:rPr>
          <w:color w:val="1A1A1A"/>
          <w:szCs w:val="21"/>
          <w:vertAlign w:val="superscript"/>
        </w:rPr>
        <w:t>1</w:t>
      </w:r>
      <w:r w:rsidRPr="00181E05">
        <w:rPr>
          <w:szCs w:val="21"/>
        </w:rPr>
        <w:br/>
      </w:r>
      <w:r w:rsidRPr="00181E05">
        <w:rPr>
          <w:color w:val="1A1A1A"/>
          <w:szCs w:val="21"/>
        </w:rPr>
        <w:t>Rosa Levandovski</w:t>
      </w:r>
      <w:r w:rsidRPr="00181E05">
        <w:rPr>
          <w:color w:val="1A1A1A"/>
          <w:szCs w:val="21"/>
          <w:vertAlign w:val="superscript"/>
        </w:rPr>
        <w:t>1</w:t>
      </w:r>
      <w:r w:rsidRPr="00181E05">
        <w:rPr>
          <w:szCs w:val="21"/>
        </w:rPr>
        <w:br/>
      </w:r>
      <w:r w:rsidRPr="00181E05">
        <w:rPr>
          <w:color w:val="1A1A1A"/>
          <w:szCs w:val="21"/>
        </w:rPr>
        <w:t>Ângela Paveglio Teixeira Farias</w:t>
      </w:r>
      <w:r w:rsidRPr="00181E05">
        <w:rPr>
          <w:color w:val="1A1A1A"/>
          <w:szCs w:val="21"/>
          <w:vertAlign w:val="superscript"/>
        </w:rPr>
        <w:t>1</w:t>
      </w:r>
    </w:p>
    <w:p w:rsidR="000B5910" w:rsidRDefault="00057F5C">
      <w:pPr>
        <w:spacing w:before="240" w:after="100"/>
      </w:pPr>
      <w:r>
        <w:rPr>
          <w:b/>
          <w:color w:val="1A1A1A"/>
          <w:sz w:val="22"/>
        </w:rPr>
        <w:t>RESUMO</w:t>
      </w:r>
    </w:p>
    <w:p w:rsidR="000B5910" w:rsidRPr="00181E05" w:rsidRDefault="00057F5C">
      <w:pPr>
        <w:spacing w:after="80"/>
        <w:jc w:val="both"/>
        <w:rPr>
          <w:sz w:val="22"/>
        </w:rPr>
      </w:pPr>
      <w:r w:rsidRPr="00181E05">
        <w:rPr>
          <w:b/>
          <w:color w:val="1A1A1A"/>
          <w:sz w:val="22"/>
        </w:rPr>
        <w:t>Introdução:</w:t>
      </w:r>
      <w:r w:rsidRPr="00181E05">
        <w:rPr>
          <w:color w:val="1A1A1A"/>
          <w:sz w:val="22"/>
        </w:rPr>
        <w:t xml:space="preserve"> O cuidado da pessoa com diabetes tipo 2 envolve a necessidade de abordagem interprofissional para garantir entendimento da doença, mudanças de estilo de vida, tratamento interprofissional adequado, adesão e redução de complicações. Dada a prevalência do diabetes e </w:t>
      </w:r>
      <w:proofErr w:type="gramStart"/>
      <w:r w:rsidRPr="00181E05">
        <w:rPr>
          <w:color w:val="1A1A1A"/>
          <w:sz w:val="22"/>
        </w:rPr>
        <w:t>a</w:t>
      </w:r>
      <w:proofErr w:type="gramEnd"/>
      <w:r w:rsidRPr="00181E05">
        <w:rPr>
          <w:color w:val="1A1A1A"/>
          <w:sz w:val="22"/>
        </w:rPr>
        <w:t xml:space="preserve"> incapacidade de seguimento de todos as pessoas com esta condição em ambulatório especializado, é fundamental que o profissional da Atenção Primária à Saúde (APS) oferte tratamento intensivo nas fases de descontrole da doença, visando melhora dos controles glicêmicos, prevenção de desfechos cardiovasculares e redução de lesão em órgãos-alvo. </w:t>
      </w:r>
      <w:r w:rsidRPr="00181E05">
        <w:rPr>
          <w:b/>
          <w:color w:val="1A1A1A"/>
          <w:sz w:val="22"/>
        </w:rPr>
        <w:t>Objetivo:</w:t>
      </w:r>
      <w:r w:rsidRPr="00181E05">
        <w:rPr>
          <w:color w:val="1A1A1A"/>
          <w:sz w:val="22"/>
        </w:rPr>
        <w:t xml:space="preserve"> Exemplificar como o seguimento intensivo e interprofissional por profissionais da APS pode fornecer tratamento adequado para pessoas com diabetes com múltiplas complicações. </w:t>
      </w:r>
      <w:r w:rsidRPr="00181E05">
        <w:rPr>
          <w:b/>
          <w:color w:val="1A1A1A"/>
          <w:sz w:val="22"/>
        </w:rPr>
        <w:t xml:space="preserve">Métodos: </w:t>
      </w:r>
      <w:r w:rsidRPr="00181E05">
        <w:rPr>
          <w:color w:val="1A1A1A"/>
          <w:sz w:val="22"/>
        </w:rPr>
        <w:t xml:space="preserve">Traz-se o relato de caso de mulher de 78 anos, hipertensa, obesa, diabética há mais de 30 anos, com polineuropatia, infarto agudo do miocárdio (IAM), retinopatia diabética proliferativa e microalbuminúria. Fora realizada revisão de prontuário com dados de 2016 a 2025. De 2016 a 2022, teve 7 consultas médicas na APS. Observou-se hemoglobina glicada (HbA1c) progressivamente mais alta. Fez uso de sulfonilureia, biguanida e insulina basal. Vítima de IAM em 2022, com seguimento em ambulatório terciário de Medicina Interna nos dois anos subsequentes. Foi identificada hiperbasalização, com proporção de 8,2 unidades de insulina NPH para cada unidade de insulina regular, com HbA1c de 13,6% em julho de 2024. Fora acolhida por equipe interprofissional de APS em agosto de 2024. </w:t>
      </w:r>
      <w:r w:rsidRPr="00181E05">
        <w:rPr>
          <w:b/>
          <w:color w:val="1A1A1A"/>
          <w:sz w:val="22"/>
        </w:rPr>
        <w:t>Resultados:</w:t>
      </w:r>
      <w:r w:rsidRPr="00181E05">
        <w:rPr>
          <w:color w:val="1A1A1A"/>
          <w:sz w:val="22"/>
        </w:rPr>
        <w:t xml:space="preserve"> De agosto de 2024 </w:t>
      </w:r>
      <w:proofErr w:type="gramStart"/>
      <w:r w:rsidRPr="00181E05">
        <w:rPr>
          <w:color w:val="1A1A1A"/>
          <w:sz w:val="22"/>
        </w:rPr>
        <w:t>a</w:t>
      </w:r>
      <w:proofErr w:type="gramEnd"/>
      <w:r w:rsidRPr="00181E05">
        <w:rPr>
          <w:color w:val="1A1A1A"/>
          <w:sz w:val="22"/>
        </w:rPr>
        <w:t xml:space="preserve"> outubro de 2025, foram realizadas 12 consultas com médico de família e comunidade, cinco com nutricionista, três com farmacêutica e duas com enfermeira. Ajustou-se a proporção para 1,25 unidade de insulina NPH para cada unidade de insulina regular, com dose final de 1,8 UI/kg/dia de insulina. Introduziu-se dapagliflozina e suspendeu-se o uso de sulfonilureias. Em setembro de 2025, atingiu HbA1c de 7,0% e LDL-colesterol de 48 mg/dL sem episódios de hipoglicemia e sem piora das complicações. </w:t>
      </w:r>
      <w:r w:rsidRPr="00181E05">
        <w:rPr>
          <w:b/>
          <w:color w:val="1A1A1A"/>
          <w:sz w:val="22"/>
        </w:rPr>
        <w:t>Conclusão:</w:t>
      </w:r>
      <w:r w:rsidRPr="00181E05">
        <w:rPr>
          <w:color w:val="1A1A1A"/>
          <w:sz w:val="22"/>
        </w:rPr>
        <w:t xml:space="preserve"> A percepção da hiperbasalização sem obtenção de controle glicêmico e </w:t>
      </w:r>
      <w:proofErr w:type="gramStart"/>
      <w:r w:rsidRPr="00181E05">
        <w:rPr>
          <w:color w:val="1A1A1A"/>
          <w:sz w:val="22"/>
        </w:rPr>
        <w:t>a</w:t>
      </w:r>
      <w:proofErr w:type="gramEnd"/>
      <w:r w:rsidRPr="00181E05">
        <w:rPr>
          <w:color w:val="1A1A1A"/>
          <w:sz w:val="22"/>
        </w:rPr>
        <w:t xml:space="preserve"> intensificação das consultas interprofissionais na APS utilizando de recursos do Sistema Único de Saúde viabilizaram a compensação do diabetes e da dislipidemia, bem como preveniram a progressão das comorbidades associadas.</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Grupo Hospitalar Conceição</w:t>
      </w:r>
    </w:p>
    <w:p w:rsidR="000B5910" w:rsidRDefault="000B5910">
      <w:pPr>
        <w:sectPr w:rsidR="000B5910">
          <w:headerReference w:type="default" r:id="rId103"/>
          <w:footerReference w:type="default" r:id="rId10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COMPLICAÇÕES DO DIABETES MELLITUS COMO CAUSA DE INTERNAÇÕES NO SUS: ANÁLISE DE MORBIDADE, MORTALIDADE E CUSTOS NO SUL DO BRASIL (2010-2024)</w:t>
      </w:r>
    </w:p>
    <w:p w:rsidR="000B5910" w:rsidRPr="00181E05" w:rsidRDefault="00057F5C">
      <w:pPr>
        <w:spacing w:after="40" w:line="252" w:lineRule="auto"/>
        <w:jc w:val="right"/>
        <w:rPr>
          <w:szCs w:val="21"/>
        </w:rPr>
      </w:pPr>
      <w:r w:rsidRPr="00181E05">
        <w:rPr>
          <w:color w:val="1A1A1A"/>
          <w:szCs w:val="21"/>
        </w:rPr>
        <w:t>Manoela Lenzi Pinto</w:t>
      </w:r>
      <w:r w:rsidRPr="00181E05">
        <w:rPr>
          <w:color w:val="1A1A1A"/>
          <w:szCs w:val="21"/>
          <w:vertAlign w:val="superscript"/>
        </w:rPr>
        <w:t>1</w:t>
      </w:r>
      <w:r w:rsidRPr="00181E05">
        <w:rPr>
          <w:szCs w:val="21"/>
        </w:rPr>
        <w:br/>
      </w:r>
      <w:r w:rsidRPr="00181E05">
        <w:rPr>
          <w:color w:val="1A1A1A"/>
          <w:szCs w:val="21"/>
        </w:rPr>
        <w:t>Milena Dias da Silva</w:t>
      </w:r>
      <w:r w:rsidRPr="00181E05">
        <w:rPr>
          <w:color w:val="1A1A1A"/>
          <w:szCs w:val="21"/>
          <w:vertAlign w:val="superscript"/>
        </w:rPr>
        <w:t>1</w:t>
      </w:r>
    </w:p>
    <w:p w:rsidR="000B5910" w:rsidRDefault="00057F5C">
      <w:pPr>
        <w:spacing w:before="240" w:after="100"/>
      </w:pPr>
      <w:r>
        <w:rPr>
          <w:b/>
          <w:color w:val="1A1A1A"/>
          <w:sz w:val="22"/>
        </w:rPr>
        <w:t>RESUMO</w:t>
      </w:r>
    </w:p>
    <w:p w:rsidR="000B5910" w:rsidRPr="00181E05" w:rsidRDefault="00057F5C">
      <w:pPr>
        <w:spacing w:after="80"/>
        <w:jc w:val="both"/>
        <w:rPr>
          <w:sz w:val="22"/>
        </w:rPr>
      </w:pPr>
      <w:r w:rsidRPr="00181E05">
        <w:rPr>
          <w:b/>
          <w:color w:val="1A1A1A"/>
          <w:sz w:val="22"/>
        </w:rPr>
        <w:t>Introdução:</w:t>
      </w:r>
      <w:r w:rsidRPr="00181E05">
        <w:rPr>
          <w:color w:val="1A1A1A"/>
          <w:sz w:val="22"/>
        </w:rPr>
        <w:t xml:space="preserve"> O diabetes mellitus é uma doença crônica de elevada prevalência e importante impacto em saúde pública, estando associado a complicações agudas e crônicas. Apesar da disponibilidade de estratégias eficazes de controle, uma parcela significativa dos pacientes evolui com descompensações, refletindo falhas no manejo clínico e na atenção primária. As internações por complicações do diabetes estão associadas </w:t>
      </w:r>
      <w:proofErr w:type="gramStart"/>
      <w:r w:rsidRPr="00181E05">
        <w:rPr>
          <w:color w:val="1A1A1A"/>
          <w:sz w:val="22"/>
        </w:rPr>
        <w:t>a</w:t>
      </w:r>
      <w:proofErr w:type="gramEnd"/>
      <w:r w:rsidRPr="00181E05">
        <w:rPr>
          <w:color w:val="1A1A1A"/>
          <w:sz w:val="22"/>
        </w:rPr>
        <w:t xml:space="preserve"> aumento da morbimortalidade e a elevados custos para o sistema de saúde. Nesse contexto, </w:t>
      </w:r>
      <w:proofErr w:type="gramStart"/>
      <w:r w:rsidRPr="00181E05">
        <w:rPr>
          <w:color w:val="1A1A1A"/>
          <w:sz w:val="22"/>
        </w:rPr>
        <w:t>a</w:t>
      </w:r>
      <w:proofErr w:type="gramEnd"/>
      <w:r w:rsidRPr="00181E05">
        <w:rPr>
          <w:color w:val="1A1A1A"/>
          <w:sz w:val="22"/>
        </w:rPr>
        <w:t xml:space="preserve"> análise epidemiológica dessas hospitalizações permite avaliar a magnitude do problema. </w:t>
      </w:r>
      <w:r w:rsidRPr="00181E05">
        <w:rPr>
          <w:b/>
          <w:color w:val="1A1A1A"/>
          <w:sz w:val="22"/>
        </w:rPr>
        <w:t>Objetivo</w:t>
      </w:r>
      <w:r w:rsidRPr="00181E05">
        <w:rPr>
          <w:color w:val="1A1A1A"/>
          <w:sz w:val="22"/>
        </w:rPr>
        <w:t xml:space="preserve">: Analisar o impacto de complicações do diabetes mellitus em internações hospitalares no Sul do Brasil, avaliando morbidade, mortalidade e custos no SUS no período de 2010 a 2024. </w:t>
      </w:r>
      <w:r w:rsidRPr="00181E05">
        <w:rPr>
          <w:b/>
          <w:color w:val="1A1A1A"/>
          <w:sz w:val="22"/>
        </w:rPr>
        <w:t>Métodos:</w:t>
      </w:r>
      <w:r w:rsidRPr="00181E05">
        <w:rPr>
          <w:color w:val="1A1A1A"/>
          <w:sz w:val="22"/>
        </w:rPr>
        <w:t xml:space="preserve"> Estudo observacional retrospectivo, de caráter ecológico, com dados secundários provenientes do Sistema de Informações Hospitalares do SUS (SIH/SUS). Foram analisadas internações por diabetes mellitus em indivíduos com idade maiores de 20 anos, residentes na região Sul do Brasil, no período de 2010 a 2024. As variáveis avaliadas incluíram número de internações, óbitos hospitalares e custos totais, estratificados por faixa etária e sexo. Os dados foram organizados por ano de atendimento para análise de tendência temporal. </w:t>
      </w:r>
      <w:r w:rsidRPr="00181E05">
        <w:rPr>
          <w:b/>
          <w:color w:val="1A1A1A"/>
          <w:sz w:val="22"/>
        </w:rPr>
        <w:t>Resultados:</w:t>
      </w:r>
      <w:r w:rsidRPr="00181E05">
        <w:rPr>
          <w:color w:val="1A1A1A"/>
          <w:sz w:val="22"/>
        </w:rPr>
        <w:t xml:space="preserve"> Entre 2010 e 2024, foram registradas 295.251 internações por diabetes mellitus no Sul do Brasil, com predomínio na faixa etária maior que 60 anos (170.964 casos), seguida por indivíduos de 40 a 59 anos (90.258) e 20 a 39 anos (34.029). Observou-se tendência de redução das internações ao longo do período, mais evidente em adultos de meia-idade e idosos, com discreta elevação recente em faixas etárias mais jovens. A mortalidade hospitalar totalizou 11.092 óbitos, concentrando-se principalmente em indivíduos com mais de 60 anos (8.660), indicando maior gravidade nessa faixa etária. Os custos totais ultrapassaram R$ 227 milhões, com maior impacto econômico também entre idosos (R$ 113 milhões), seguidos por adultos de 40 a 59 anos (R$ 69 milhões) e 20 a 39 anos (R$ 45 milhões). </w:t>
      </w:r>
      <w:r w:rsidRPr="00181E05">
        <w:rPr>
          <w:b/>
          <w:color w:val="1A1A1A"/>
          <w:sz w:val="22"/>
        </w:rPr>
        <w:t>Conclusão:</w:t>
      </w:r>
      <w:r w:rsidRPr="00181E05">
        <w:rPr>
          <w:color w:val="1A1A1A"/>
          <w:sz w:val="22"/>
        </w:rPr>
        <w:t xml:space="preserve"> As complicações do diabetes mellitus permanecem associadas </w:t>
      </w:r>
      <w:proofErr w:type="gramStart"/>
      <w:r w:rsidRPr="00181E05">
        <w:rPr>
          <w:color w:val="1A1A1A"/>
          <w:sz w:val="22"/>
        </w:rPr>
        <w:t>a</w:t>
      </w:r>
      <w:proofErr w:type="gramEnd"/>
      <w:r w:rsidRPr="00181E05">
        <w:rPr>
          <w:color w:val="1A1A1A"/>
          <w:sz w:val="22"/>
        </w:rPr>
        <w:t xml:space="preserve"> elevada morbimortalidade e impacto econômico, especialmente em indivíduos idosos. A persistência de altas taxas de óbito e custos evidencia lacunas no controle da doença, destacando a necessidade de estratégias mais eficazes de prevenção, diagnóstico precoce e manejo na atenção primária.</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Federal de Ciências da Saúde de Porto Alegre - UFCSPA</w:t>
      </w:r>
    </w:p>
    <w:p w:rsidR="000B5910" w:rsidRDefault="000B5910">
      <w:pPr>
        <w:sectPr w:rsidR="000B5910">
          <w:headerReference w:type="default" r:id="rId105"/>
          <w:footerReference w:type="default" r:id="rId106"/>
          <w:pgSz w:w="12240" w:h="15840"/>
          <w:pgMar w:top="1417" w:right="1417" w:bottom="1417" w:left="1417" w:header="680" w:footer="680" w:gutter="0"/>
          <w:cols w:space="720"/>
        </w:sectPr>
      </w:pPr>
    </w:p>
    <w:p w:rsidR="000B5910" w:rsidRDefault="00057F5C">
      <w:pPr>
        <w:spacing w:before="80" w:line="252" w:lineRule="auto"/>
        <w:jc w:val="both"/>
        <w:rPr>
          <w:spacing w:val="-17"/>
          <w:sz w:val="22"/>
          <w:szCs w:val="24"/>
        </w:rPr>
      </w:pPr>
      <w:r>
        <w:rPr>
          <w:b/>
          <w:color w:val="1A1A1A"/>
          <w:spacing w:val="-17"/>
          <w:sz w:val="28"/>
          <w:szCs w:val="24"/>
        </w:rPr>
        <w:lastRenderedPageBreak/>
        <w:t xml:space="preserve">EFEITO DA DIETA PLANT-BASED VS. DIETA PADRÃO SAUDÁVEL NA SENSIBILIDADE À INSULINA E FUNÇÃO DE CÉLULA NO DIABETES </w:t>
      </w:r>
      <w:r>
        <w:rPr>
          <w:b/>
          <w:color w:val="1A1A1A"/>
          <w:spacing w:val="-11"/>
          <w:sz w:val="28"/>
          <w:szCs w:val="24"/>
        </w:rPr>
        <w:t>MELLITUS TIPO 2: SUBESTUDO DE UM ENSAIO CLÍNICO RANDOMIZADO</w:t>
      </w:r>
    </w:p>
    <w:p w:rsidR="000B5910" w:rsidRPr="00181E05" w:rsidRDefault="00057F5C">
      <w:pPr>
        <w:spacing w:after="40" w:line="252" w:lineRule="auto"/>
        <w:jc w:val="right"/>
        <w:rPr>
          <w:szCs w:val="21"/>
        </w:rPr>
      </w:pPr>
      <w:r w:rsidRPr="00181E05">
        <w:rPr>
          <w:color w:val="1A1A1A"/>
          <w:szCs w:val="21"/>
        </w:rPr>
        <w:t>Paula Portal Teixeira</w:t>
      </w:r>
      <w:r w:rsidRPr="00181E05">
        <w:rPr>
          <w:color w:val="1A1A1A"/>
          <w:szCs w:val="21"/>
          <w:vertAlign w:val="superscript"/>
        </w:rPr>
        <w:t>1</w:t>
      </w:r>
      <w:r w:rsidRPr="00181E05">
        <w:rPr>
          <w:szCs w:val="21"/>
        </w:rPr>
        <w:br/>
      </w:r>
      <w:r w:rsidRPr="00181E05">
        <w:rPr>
          <w:color w:val="1A1A1A"/>
          <w:szCs w:val="21"/>
        </w:rPr>
        <w:t>Gabriel Tonin Ferrari</w:t>
      </w:r>
      <w:r w:rsidRPr="00181E05">
        <w:rPr>
          <w:color w:val="1A1A1A"/>
          <w:szCs w:val="21"/>
          <w:vertAlign w:val="superscript"/>
        </w:rPr>
        <w:t>1</w:t>
      </w:r>
      <w:r w:rsidRPr="00181E05">
        <w:rPr>
          <w:szCs w:val="21"/>
        </w:rPr>
        <w:br/>
      </w:r>
      <w:r w:rsidRPr="00181E05">
        <w:rPr>
          <w:color w:val="1A1A1A"/>
          <w:szCs w:val="21"/>
        </w:rPr>
        <w:t>Bárbara Birck Martins</w:t>
      </w:r>
      <w:r w:rsidRPr="00181E05">
        <w:rPr>
          <w:color w:val="1A1A1A"/>
          <w:szCs w:val="21"/>
          <w:vertAlign w:val="superscript"/>
        </w:rPr>
        <w:t>1</w:t>
      </w:r>
      <w:r w:rsidRPr="00181E05">
        <w:rPr>
          <w:szCs w:val="21"/>
        </w:rPr>
        <w:br/>
      </w:r>
      <w:r w:rsidRPr="00181E05">
        <w:rPr>
          <w:color w:val="1A1A1A"/>
          <w:szCs w:val="21"/>
        </w:rPr>
        <w:t>Poliana Espíndola Correia</w:t>
      </w:r>
      <w:r w:rsidRPr="00181E05">
        <w:rPr>
          <w:color w:val="1A1A1A"/>
          <w:szCs w:val="21"/>
          <w:vertAlign w:val="superscript"/>
        </w:rPr>
        <w:t>1</w:t>
      </w:r>
      <w:r w:rsidRPr="00181E05">
        <w:rPr>
          <w:szCs w:val="21"/>
        </w:rPr>
        <w:br/>
      </w:r>
      <w:r w:rsidRPr="00181E05">
        <w:rPr>
          <w:color w:val="1A1A1A"/>
          <w:szCs w:val="21"/>
        </w:rPr>
        <w:t>Olavo Carvalho Porepp</w:t>
      </w:r>
      <w:r w:rsidRPr="00181E05">
        <w:rPr>
          <w:color w:val="1A1A1A"/>
          <w:szCs w:val="21"/>
          <w:vertAlign w:val="superscript"/>
        </w:rPr>
        <w:t>1</w:t>
      </w:r>
      <w:r w:rsidRPr="00181E05">
        <w:rPr>
          <w:szCs w:val="21"/>
        </w:rPr>
        <w:br/>
      </w:r>
      <w:r w:rsidRPr="00181E05">
        <w:rPr>
          <w:color w:val="1A1A1A"/>
          <w:szCs w:val="21"/>
        </w:rPr>
        <w:t>Laura Kersting Chadanowicz</w:t>
      </w:r>
      <w:r w:rsidRPr="00181E05">
        <w:rPr>
          <w:color w:val="1A1A1A"/>
          <w:szCs w:val="21"/>
          <w:vertAlign w:val="superscript"/>
        </w:rPr>
        <w:t>1</w:t>
      </w:r>
      <w:r w:rsidRPr="00181E05">
        <w:rPr>
          <w:szCs w:val="21"/>
        </w:rPr>
        <w:br/>
      </w:r>
      <w:r w:rsidRPr="00181E05">
        <w:rPr>
          <w:color w:val="1A1A1A"/>
          <w:szCs w:val="21"/>
        </w:rPr>
        <w:t>Luisa Tarabini Fossari</w:t>
      </w:r>
      <w:r w:rsidRPr="00181E05">
        <w:rPr>
          <w:color w:val="1A1A1A"/>
          <w:szCs w:val="21"/>
          <w:vertAlign w:val="superscript"/>
        </w:rPr>
        <w:t>1</w:t>
      </w:r>
      <w:r w:rsidRPr="00181E05">
        <w:rPr>
          <w:szCs w:val="21"/>
        </w:rPr>
        <w:br/>
      </w:r>
      <w:r w:rsidRPr="00181E05">
        <w:rPr>
          <w:color w:val="1A1A1A"/>
          <w:szCs w:val="21"/>
        </w:rPr>
        <w:t>Bruna Lorence de Fraga</w:t>
      </w:r>
      <w:r w:rsidRPr="00181E05">
        <w:rPr>
          <w:color w:val="1A1A1A"/>
          <w:szCs w:val="21"/>
          <w:vertAlign w:val="superscript"/>
        </w:rPr>
        <w:t>1</w:t>
      </w:r>
      <w:r w:rsidRPr="00181E05">
        <w:rPr>
          <w:szCs w:val="21"/>
        </w:rPr>
        <w:br/>
      </w:r>
      <w:r w:rsidRPr="00181E05">
        <w:rPr>
          <w:color w:val="1A1A1A"/>
          <w:szCs w:val="21"/>
        </w:rPr>
        <w:t>Laura Backes Kunzler</w:t>
      </w:r>
      <w:r w:rsidRPr="00181E05">
        <w:rPr>
          <w:color w:val="1A1A1A"/>
          <w:szCs w:val="21"/>
          <w:vertAlign w:val="superscript"/>
        </w:rPr>
        <w:t>1</w:t>
      </w:r>
      <w:r w:rsidRPr="00181E05">
        <w:rPr>
          <w:szCs w:val="21"/>
        </w:rPr>
        <w:br/>
      </w:r>
      <w:r w:rsidRPr="00181E05">
        <w:rPr>
          <w:color w:val="1A1A1A"/>
          <w:szCs w:val="21"/>
        </w:rPr>
        <w:t>Kristina Utzschneider</w:t>
      </w:r>
      <w:r w:rsidRPr="00181E05">
        <w:rPr>
          <w:color w:val="1A1A1A"/>
          <w:szCs w:val="21"/>
          <w:vertAlign w:val="superscript"/>
        </w:rPr>
        <w:t>2</w:t>
      </w:r>
      <w:r w:rsidRPr="00181E05">
        <w:rPr>
          <w:szCs w:val="21"/>
        </w:rPr>
        <w:br/>
      </w:r>
      <w:r w:rsidRPr="00181E05">
        <w:rPr>
          <w:color w:val="1A1A1A"/>
          <w:szCs w:val="21"/>
        </w:rPr>
        <w:t>Fernando Gerchman</w:t>
      </w:r>
      <w:r w:rsidRPr="00181E05">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181E05" w:rsidRDefault="00057F5C" w:rsidP="00181E05">
      <w:pPr>
        <w:spacing w:after="80" w:line="240" w:lineRule="auto"/>
        <w:jc w:val="both"/>
        <w:rPr>
          <w:sz w:val="22"/>
          <w:szCs w:val="21"/>
        </w:rPr>
      </w:pPr>
      <w:r w:rsidRPr="00181E05">
        <w:rPr>
          <w:b/>
          <w:color w:val="1A1A1A"/>
          <w:sz w:val="22"/>
          <w:szCs w:val="21"/>
        </w:rPr>
        <w:t>Introdução:</w:t>
      </w:r>
      <w:r w:rsidRPr="00181E05">
        <w:rPr>
          <w:color w:val="1A1A1A"/>
          <w:sz w:val="22"/>
          <w:szCs w:val="21"/>
        </w:rPr>
        <w:t xml:space="preserve"> Intervenções com restrição calórica melhoram a sensibilidade à insulina e a função das células β-pancreáticas de indivíduos com diabetes mellitus tipo 2 (DM2). No entanto, o impacto da redução da proteína animal em dietas à base de vegetais (Plant-Based diet, PBD) sobre estes parâmetros, de forma independente da perda ponderal, permanece incerto. </w:t>
      </w:r>
      <w:r w:rsidRPr="00181E05">
        <w:rPr>
          <w:b/>
          <w:color w:val="1A1A1A"/>
          <w:sz w:val="22"/>
          <w:szCs w:val="21"/>
        </w:rPr>
        <w:t>Objetivo:</w:t>
      </w:r>
      <w:r w:rsidRPr="00181E05">
        <w:rPr>
          <w:color w:val="1A1A1A"/>
          <w:sz w:val="22"/>
          <w:szCs w:val="21"/>
        </w:rPr>
        <w:t xml:space="preserve"> Comparar o efeito de uma PBD a uma dieta controle saudável (DC) sobre a sensibilidade à insulina e função das células β em indivíduos com DM2 e excesso de peso.</w:t>
      </w:r>
      <w:r w:rsidRPr="00181E05">
        <w:rPr>
          <w:b/>
          <w:color w:val="1A1A1A"/>
          <w:sz w:val="22"/>
          <w:szCs w:val="21"/>
        </w:rPr>
        <w:t xml:space="preserve"> Métodos:</w:t>
      </w:r>
      <w:r w:rsidRPr="00181E05">
        <w:rPr>
          <w:color w:val="1A1A1A"/>
          <w:sz w:val="22"/>
          <w:szCs w:val="21"/>
        </w:rPr>
        <w:t xml:space="preserve"> Trata-se de um subestudo de um ensaio clínico randomizado incluindo adultos com DM2 (n=58, 18-65 anos, IMC 25-40 kg/m²). Os participantes foram randomizados para: 1) PBD (n=28), com consumo limitado de carnes (350 g/semana) e alimentos de origem animal (4 porções/dia); ou para 2) DC (n=30), sem limitação de produtos de origem animal. As dietas apresentavam a mesma restrição calórica e distribuição de macronutrientes. Parâmetros de sensibilidade, secreção de insulina e função de célula β foram obtidos por modelos matemáticos derivados do Teste de Tolerância à Refeição Mista (MMTT) realizado no momento basal e após 12 semanas. Equações de Estimativas Generalizadas (GEE) com correção de Bonferroni foram utilizadas para avaliar o efeito do tempo, grupo e da interação, com significância de p&lt;0,05. </w:t>
      </w:r>
      <w:r w:rsidRPr="00181E05">
        <w:rPr>
          <w:b/>
          <w:color w:val="1A1A1A"/>
          <w:sz w:val="22"/>
          <w:szCs w:val="21"/>
        </w:rPr>
        <w:t>Resultados:</w:t>
      </w:r>
      <w:r w:rsidRPr="00181E05">
        <w:rPr>
          <w:color w:val="1A1A1A"/>
          <w:sz w:val="22"/>
          <w:szCs w:val="21"/>
        </w:rPr>
        <w:t xml:space="preserve"> Após 12 semanas, ambas dietas promoveram reduções significativas no peso corporal [PBD: -2,60 kg vs. CD: -1,79 kg, p tempo&lt;0,001, p interação = 0,457] e na HbA1c [PBD: -1,01% vs. CD: -0,74%, p t&lt;0,001, p int =0,356]. A glicemia média durante o MMTT (p t =0,008) e a resposta precoce de peptídeo-C (p t =0,048) melhoraram significativamente em ambos grupos, porém, apenas a PBD apresentou aumento na área incremental sob a curva (iAUC) de peptídeo-C durante o MMTT (p int =0,015) e melhora na sensibilidade insulínica pelo índice OGIS (p int =0,045). A secreção total de insulina durante o MMTT (p t = 0,025), a sensibilidade das células β à glicose (p t = 0,010) e secreção de insulina em resposta ao aumento das concentrações de glicose (p t = 0,004) melhoraram com ambas dietas, sem diferença entre grupos. </w:t>
      </w:r>
      <w:r w:rsidRPr="00181E05">
        <w:rPr>
          <w:b/>
          <w:color w:val="1A1A1A"/>
          <w:sz w:val="22"/>
          <w:szCs w:val="21"/>
        </w:rPr>
        <w:t>Conclusão:</w:t>
      </w:r>
      <w:r w:rsidRPr="00181E05">
        <w:rPr>
          <w:color w:val="1A1A1A"/>
          <w:sz w:val="22"/>
          <w:szCs w:val="21"/>
        </w:rPr>
        <w:t xml:space="preserve"> Sob restrição calórica e composição nutricional controladas, as dietas exerceram efeitos similares no peso corporal e controle glicêmico (HbA1c). Contudo, a PBD promoveu maior resposta secretória ao estímulo alimentar e melhora da sensibilidade à insulina, sugerindo potencial benefício sobre a função das células β.</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Federal do Rio Grande do Sul</w:t>
      </w:r>
    </w:p>
    <w:p w:rsidR="000B5910" w:rsidRDefault="00057F5C">
      <w:pPr>
        <w:spacing w:after="0" w:line="252" w:lineRule="auto"/>
      </w:pPr>
      <w:r>
        <w:rPr>
          <w:color w:val="595959"/>
          <w:sz w:val="13"/>
          <w:vertAlign w:val="superscript"/>
        </w:rPr>
        <w:t>2</w:t>
      </w:r>
      <w:r>
        <w:rPr>
          <w:color w:val="595959"/>
          <w:sz w:val="16"/>
        </w:rPr>
        <w:t xml:space="preserve"> Universidade de Washington</w:t>
      </w:r>
    </w:p>
    <w:p w:rsidR="000B5910" w:rsidRDefault="000B5910">
      <w:pPr>
        <w:sectPr w:rsidR="000B5910">
          <w:headerReference w:type="default" r:id="rId107"/>
          <w:footerReference w:type="default" r:id="rId10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TENDÊNCIA TEMPORAL DAS INTERNAÇÕES POR DIABETES MELLITUS EM ADULTOS JOVENS NO PARÁ DE 2010 A 2025</w:t>
      </w:r>
    </w:p>
    <w:p w:rsidR="000B5910" w:rsidRPr="00181E05" w:rsidRDefault="00057F5C">
      <w:pPr>
        <w:spacing w:after="40" w:line="252" w:lineRule="auto"/>
        <w:jc w:val="right"/>
        <w:rPr>
          <w:szCs w:val="21"/>
        </w:rPr>
      </w:pPr>
      <w:r w:rsidRPr="00181E05">
        <w:rPr>
          <w:color w:val="1A1A1A"/>
          <w:szCs w:val="21"/>
        </w:rPr>
        <w:t>Laryssa Rodrigues Correa</w:t>
      </w:r>
      <w:r w:rsidRPr="00181E05">
        <w:rPr>
          <w:color w:val="1A1A1A"/>
          <w:szCs w:val="21"/>
          <w:vertAlign w:val="superscript"/>
        </w:rPr>
        <w:t>1</w:t>
      </w:r>
      <w:r w:rsidRPr="00181E05">
        <w:rPr>
          <w:szCs w:val="21"/>
        </w:rPr>
        <w:br/>
      </w:r>
      <w:r w:rsidRPr="00181E05">
        <w:rPr>
          <w:color w:val="1A1A1A"/>
          <w:szCs w:val="21"/>
        </w:rPr>
        <w:t>Jorge Luis Moscoso Paraense</w:t>
      </w:r>
      <w:r w:rsidRPr="00181E05">
        <w:rPr>
          <w:color w:val="1A1A1A"/>
          <w:szCs w:val="21"/>
          <w:vertAlign w:val="superscript"/>
        </w:rPr>
        <w:t>2</w:t>
      </w:r>
    </w:p>
    <w:p w:rsidR="000B5910" w:rsidRDefault="00057F5C">
      <w:pPr>
        <w:spacing w:before="240" w:after="100"/>
      </w:pPr>
      <w:r>
        <w:rPr>
          <w:b/>
          <w:color w:val="1A1A1A"/>
          <w:sz w:val="22"/>
        </w:rPr>
        <w:t>RESUMO</w:t>
      </w:r>
    </w:p>
    <w:p w:rsidR="000B5910" w:rsidRPr="00181E05" w:rsidRDefault="00057F5C">
      <w:pPr>
        <w:spacing w:after="80"/>
        <w:jc w:val="both"/>
        <w:rPr>
          <w:sz w:val="22"/>
        </w:rPr>
      </w:pPr>
      <w:r w:rsidRPr="00181E05">
        <w:rPr>
          <w:b/>
          <w:color w:val="1A1A1A"/>
          <w:sz w:val="22"/>
        </w:rPr>
        <w:t xml:space="preserve">Introdução: </w:t>
      </w:r>
      <w:r w:rsidRPr="00181E05">
        <w:rPr>
          <w:color w:val="1A1A1A"/>
          <w:sz w:val="22"/>
        </w:rPr>
        <w:t xml:space="preserve">O Diabetes Mellitus (DM) configura-se como importante problema de saúde pública, com aumento crescente de sua incidência em adultos jovens e impacto significativo nas internações hospitalares por complicações agudas e crônicas. </w:t>
      </w:r>
      <w:r w:rsidRPr="00181E05">
        <w:rPr>
          <w:b/>
          <w:color w:val="1A1A1A"/>
          <w:sz w:val="22"/>
        </w:rPr>
        <w:t xml:space="preserve">Objetivo: </w:t>
      </w:r>
      <w:r w:rsidRPr="00181E05">
        <w:rPr>
          <w:color w:val="1A1A1A"/>
          <w:sz w:val="22"/>
        </w:rPr>
        <w:t xml:space="preserve">O presente estudo teve como objetivo analisar a tendência temporal das internações por DM em indivíduos de 20 a 39 anos no estado do Pará, no período de 2010 a 2025. </w:t>
      </w:r>
      <w:r w:rsidRPr="00181E05">
        <w:rPr>
          <w:b/>
          <w:color w:val="1A1A1A"/>
          <w:sz w:val="22"/>
        </w:rPr>
        <w:t xml:space="preserve">Métodos: </w:t>
      </w:r>
      <w:r w:rsidRPr="00181E05">
        <w:rPr>
          <w:color w:val="1A1A1A"/>
          <w:sz w:val="22"/>
        </w:rPr>
        <w:t xml:space="preserve">Trata-se de estudo ecológico, retrospectivo, baseado em dados secundários do Sistema de Informações Hospitalares do SUS (SIH/SUS), considerando internações por DM segundo a Classificação Internacional de Doenças (CID-10). Foram analisadas as frequências absolutas anuais e sua evolução temporal. </w:t>
      </w:r>
      <w:r w:rsidRPr="00181E05">
        <w:rPr>
          <w:b/>
          <w:color w:val="1A1A1A"/>
          <w:sz w:val="22"/>
        </w:rPr>
        <w:t xml:space="preserve">Resultados: </w:t>
      </w:r>
      <w:r w:rsidRPr="00181E05">
        <w:rPr>
          <w:color w:val="1A1A1A"/>
          <w:sz w:val="22"/>
        </w:rPr>
        <w:t xml:space="preserve">No período estudado, foram registradas 7.456 internações. Observou-se tendência geral de crescimento ao longo da série histórica, iniciando com 380 casos em 2010 e alcançando 601 em 2025, representando aumento de aproximadamente 58,2%. Entre 2010 e 2013 houve elevação progressiva (380 para 481 casos), seguida de discreta redução e estabilidade entre 2014 e 2018 (406–457 casos). A partir de 2019, evidenciou-se novo aumento (515 casos), com queda em 2020 (475 casos), possivelmente associada à pandemia de COVID-19 e à redução de internações não relacionadas à infecção. Nos anos subsequentes, verificou-se retomada do crescimento, com 522 casos em 2023, 548 em 2024 e pico em 2025. Os achados demonstram tendência ascendente das internações por DM em adultos jovens no Pará, com flutuações pontuais ao longo do período. </w:t>
      </w:r>
      <w:r w:rsidRPr="00181E05">
        <w:rPr>
          <w:b/>
          <w:color w:val="1A1A1A"/>
          <w:sz w:val="22"/>
        </w:rPr>
        <w:t xml:space="preserve">Conclusão: </w:t>
      </w:r>
      <w:r w:rsidRPr="00181E05">
        <w:rPr>
          <w:color w:val="1A1A1A"/>
          <w:sz w:val="22"/>
        </w:rPr>
        <w:t>Conclui-se que há aumento relevante da carga de morbidade hospitalar por DM nessa faixa etária, reforçando a necessidade de fortalecimento das ações de prevenção, diagnóstico precoce e manejo adequado da doença, com foco na atenção primária, a fim de reduzir complicações e hospitalizações evitáveis.</w:t>
      </w:r>
    </w:p>
    <w:p w:rsidR="000B5910" w:rsidRDefault="000B5910">
      <w:pPr>
        <w:pBdr>
          <w:bottom w:val="single" w:sz="4" w:space="2" w:color="808080"/>
        </w:pBdr>
        <w:spacing w:before="160" w:after="40"/>
      </w:pPr>
    </w:p>
    <w:p w:rsidR="000B5910" w:rsidRPr="00D476CA" w:rsidRDefault="00057F5C">
      <w:pPr>
        <w:spacing w:after="0" w:line="252" w:lineRule="auto"/>
        <w:rPr>
          <w:sz w:val="16"/>
          <w:szCs w:val="16"/>
        </w:rPr>
      </w:pPr>
      <w:r w:rsidRPr="00D476CA">
        <w:rPr>
          <w:color w:val="595959"/>
          <w:sz w:val="16"/>
          <w:szCs w:val="16"/>
          <w:vertAlign w:val="superscript"/>
        </w:rPr>
        <w:t>1</w:t>
      </w:r>
      <w:r w:rsidRPr="00D476CA">
        <w:rPr>
          <w:color w:val="595959"/>
          <w:sz w:val="16"/>
          <w:szCs w:val="16"/>
        </w:rPr>
        <w:t xml:space="preserve"> Universidade Federal de Ciências da Saúde de Porto Alegre</w:t>
      </w:r>
    </w:p>
    <w:p w:rsidR="000B5910" w:rsidRPr="00D476CA" w:rsidRDefault="00057F5C">
      <w:pPr>
        <w:spacing w:after="0" w:line="252" w:lineRule="auto"/>
        <w:rPr>
          <w:sz w:val="16"/>
          <w:szCs w:val="16"/>
        </w:rPr>
      </w:pPr>
      <w:r w:rsidRPr="00D476CA">
        <w:rPr>
          <w:color w:val="595959"/>
          <w:sz w:val="16"/>
          <w:szCs w:val="16"/>
          <w:vertAlign w:val="superscript"/>
        </w:rPr>
        <w:t>2</w:t>
      </w:r>
      <w:r w:rsidRPr="00D476CA">
        <w:rPr>
          <w:color w:val="595959"/>
          <w:sz w:val="16"/>
          <w:szCs w:val="16"/>
        </w:rPr>
        <w:t xml:space="preserve"> Universidade do Estado do Pará</w:t>
      </w:r>
    </w:p>
    <w:p w:rsidR="000B5910" w:rsidRDefault="000B5910">
      <w:pPr>
        <w:sectPr w:rsidR="000B5910">
          <w:headerReference w:type="default" r:id="rId109"/>
          <w:footerReference w:type="default" r:id="rId11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PREDITORES DE QUALIDADE DE VIDA EM PACIENTES COM DIABETES MELLITUS NO SISTEMA ÚNICO DE SAÚDE: ESTUDO TRANSVERSAL MULTICÊNTRICO</w:t>
      </w:r>
    </w:p>
    <w:p w:rsidR="000B5910" w:rsidRPr="00D476CA" w:rsidRDefault="00057F5C">
      <w:pPr>
        <w:spacing w:after="40" w:line="252" w:lineRule="auto"/>
        <w:jc w:val="right"/>
        <w:rPr>
          <w:szCs w:val="21"/>
        </w:rPr>
      </w:pPr>
      <w:r w:rsidRPr="00D476CA">
        <w:rPr>
          <w:color w:val="1A1A1A"/>
          <w:szCs w:val="21"/>
        </w:rPr>
        <w:t>Pedro Henrique Bahia Araujo</w:t>
      </w:r>
      <w:r w:rsidRPr="00D476CA">
        <w:rPr>
          <w:color w:val="1A1A1A"/>
          <w:szCs w:val="21"/>
          <w:vertAlign w:val="superscript"/>
        </w:rPr>
        <w:t>1</w:t>
      </w:r>
      <w:r w:rsidRPr="00D476CA">
        <w:rPr>
          <w:szCs w:val="21"/>
        </w:rPr>
        <w:br/>
      </w:r>
      <w:r w:rsidRPr="00D476CA">
        <w:rPr>
          <w:color w:val="1A1A1A"/>
          <w:szCs w:val="21"/>
        </w:rPr>
        <w:t>Helena Ashton Prolla</w:t>
      </w:r>
      <w:r w:rsidRPr="00D476CA">
        <w:rPr>
          <w:color w:val="1A1A1A"/>
          <w:szCs w:val="21"/>
          <w:vertAlign w:val="superscript"/>
        </w:rPr>
        <w:t>2</w:t>
      </w:r>
      <w:r w:rsidRPr="00D476CA">
        <w:rPr>
          <w:szCs w:val="21"/>
        </w:rPr>
        <w:br/>
      </w:r>
      <w:r w:rsidRPr="00D476CA">
        <w:rPr>
          <w:color w:val="1A1A1A"/>
          <w:szCs w:val="21"/>
        </w:rPr>
        <w:t>Laura Sperotto Pessil</w:t>
      </w:r>
      <w:r w:rsidRPr="00D476CA">
        <w:rPr>
          <w:color w:val="1A1A1A"/>
          <w:szCs w:val="21"/>
          <w:vertAlign w:val="superscript"/>
        </w:rPr>
        <w:t>2</w:t>
      </w:r>
      <w:r w:rsidRPr="00D476CA">
        <w:rPr>
          <w:szCs w:val="21"/>
        </w:rPr>
        <w:br/>
      </w:r>
      <w:r w:rsidRPr="00D476CA">
        <w:rPr>
          <w:color w:val="1A1A1A"/>
          <w:szCs w:val="21"/>
        </w:rPr>
        <w:t>Leonardo André Swarowsky Loebens</w:t>
      </w:r>
      <w:r w:rsidRPr="00D476CA">
        <w:rPr>
          <w:color w:val="1A1A1A"/>
          <w:szCs w:val="21"/>
          <w:vertAlign w:val="superscript"/>
        </w:rPr>
        <w:t>2</w:t>
      </w:r>
      <w:r w:rsidRPr="00D476CA">
        <w:rPr>
          <w:szCs w:val="21"/>
        </w:rPr>
        <w:br/>
      </w:r>
      <w:r w:rsidRPr="00D476CA">
        <w:rPr>
          <w:color w:val="1A1A1A"/>
          <w:szCs w:val="21"/>
        </w:rPr>
        <w:t>Carolina Côrtes Boité Pedreira</w:t>
      </w:r>
      <w:r w:rsidRPr="00D476CA">
        <w:rPr>
          <w:color w:val="1A1A1A"/>
          <w:szCs w:val="21"/>
          <w:vertAlign w:val="superscript"/>
        </w:rPr>
        <w:t>1</w:t>
      </w:r>
      <w:r w:rsidRPr="00D476CA">
        <w:rPr>
          <w:szCs w:val="21"/>
        </w:rPr>
        <w:br/>
      </w:r>
      <w:r w:rsidRPr="00D476CA">
        <w:rPr>
          <w:color w:val="1A1A1A"/>
          <w:szCs w:val="21"/>
        </w:rPr>
        <w:t>Maria Fernanda Morettini Medeiros</w:t>
      </w:r>
      <w:r w:rsidRPr="00D476CA">
        <w:rPr>
          <w:color w:val="1A1A1A"/>
          <w:szCs w:val="21"/>
          <w:vertAlign w:val="superscript"/>
        </w:rPr>
        <w:t>1</w:t>
      </w:r>
      <w:r w:rsidRPr="00D476CA">
        <w:rPr>
          <w:szCs w:val="21"/>
        </w:rPr>
        <w:br/>
      </w:r>
      <w:r w:rsidRPr="00D476CA">
        <w:rPr>
          <w:color w:val="1A1A1A"/>
          <w:szCs w:val="21"/>
        </w:rPr>
        <w:t>Luciana Bahia</w:t>
      </w:r>
      <w:r w:rsidRPr="00D476CA">
        <w:rPr>
          <w:color w:val="1A1A1A"/>
          <w:szCs w:val="21"/>
          <w:vertAlign w:val="superscript"/>
        </w:rPr>
        <w:t>3</w:t>
      </w:r>
      <w:r w:rsidRPr="00D476CA">
        <w:rPr>
          <w:szCs w:val="21"/>
        </w:rPr>
        <w:br/>
      </w:r>
      <w:r w:rsidRPr="00D476CA">
        <w:rPr>
          <w:color w:val="1A1A1A"/>
          <w:szCs w:val="21"/>
        </w:rPr>
        <w:t>Beatriz D Schaan</w:t>
      </w:r>
      <w:r w:rsidRPr="00D476CA">
        <w:rPr>
          <w:color w:val="1A1A1A"/>
          <w:szCs w:val="21"/>
          <w:vertAlign w:val="superscript"/>
        </w:rPr>
        <w:t>2</w:t>
      </w:r>
      <w:r w:rsidRPr="00D476CA">
        <w:rPr>
          <w:szCs w:val="21"/>
        </w:rPr>
        <w:br/>
      </w:r>
      <w:r w:rsidRPr="00D476CA">
        <w:rPr>
          <w:color w:val="1A1A1A"/>
          <w:szCs w:val="21"/>
        </w:rPr>
        <w:t>Daniela Meirelles do Nascimento</w:t>
      </w:r>
      <w:r w:rsidRPr="00D476CA">
        <w:rPr>
          <w:color w:val="1A1A1A"/>
          <w:szCs w:val="21"/>
          <w:vertAlign w:val="superscript"/>
        </w:rPr>
        <w:t>4</w:t>
      </w:r>
    </w:p>
    <w:p w:rsidR="000B5910" w:rsidRDefault="00057F5C">
      <w:pPr>
        <w:spacing w:before="200" w:after="100"/>
      </w:pPr>
      <w:r>
        <w:rPr>
          <w:b/>
          <w:color w:val="1A1A1A"/>
          <w:sz w:val="22"/>
          <w:szCs w:val="24"/>
        </w:rPr>
        <w:t>RESUMO</w:t>
      </w:r>
    </w:p>
    <w:p w:rsidR="000B5910" w:rsidRPr="00D476CA" w:rsidRDefault="00057F5C">
      <w:pPr>
        <w:spacing w:after="80" w:line="264" w:lineRule="auto"/>
        <w:jc w:val="both"/>
        <w:rPr>
          <w:sz w:val="22"/>
        </w:rPr>
      </w:pPr>
      <w:r w:rsidRPr="00D476CA">
        <w:rPr>
          <w:b/>
          <w:color w:val="1A1A1A"/>
          <w:sz w:val="22"/>
        </w:rPr>
        <w:t xml:space="preserve">Introdução: </w:t>
      </w:r>
      <w:r w:rsidRPr="00D476CA">
        <w:rPr>
          <w:color w:val="1A1A1A"/>
          <w:sz w:val="22"/>
        </w:rPr>
        <w:t xml:space="preserve">O diabetes mellitus (DM) é uma doença crônica de grande impacto na saúde pública, associada à elevada mortalidade e perda de anos de vida ajustados por incapacidade, podendo comprometer a funcionalidade e o estado emocional dos pacientes. </w:t>
      </w:r>
      <w:r w:rsidRPr="00D476CA">
        <w:rPr>
          <w:b/>
          <w:color w:val="1A1A1A"/>
          <w:sz w:val="22"/>
        </w:rPr>
        <w:t>Objetivo:</w:t>
      </w:r>
      <w:r w:rsidRPr="00D476CA">
        <w:rPr>
          <w:color w:val="1A1A1A"/>
          <w:sz w:val="22"/>
        </w:rPr>
        <w:t xml:space="preserve"> Avaliar a qualidade de vida relacionada à saúde (QVRS) em indivíduos com DM atendidos no Sistema Único de Saúde e suas associações com variáveis clínicas e sociodemográficas. </w:t>
      </w:r>
      <w:r w:rsidRPr="00D476CA">
        <w:rPr>
          <w:b/>
          <w:color w:val="1A1A1A"/>
          <w:sz w:val="22"/>
        </w:rPr>
        <w:t>Métodos:</w:t>
      </w:r>
      <w:r w:rsidRPr="00D476CA">
        <w:rPr>
          <w:color w:val="1A1A1A"/>
          <w:sz w:val="22"/>
        </w:rPr>
        <w:t xml:space="preserve"> Estudo transversal multicêntrico, realizado em subamostra de pacientes do Estudo de Prevalência da Retinopatia e Doença Renal do Diabetes no Brasil (RETREND). Participaram indivíduos dos centros do Rio de Janeiro e Porto Alegre, com idade ≥ 18 anos e diagnóstico de DM, contatados por telefone e que responderam ao questionário EQ-5D-3L. O instrumento baseia-se em sistema descritivo composto por cinco dimensões (mobilidade, autocuidado, atividades habituais, dor/desconforto e ansiedade/depressão), a partir do qual é gerado um escore de utilidade variando de 0 a 1, sendo 0 o pior estado de saúde e 1 o melhor. Além do sistema descritivo, o EQ-5D-3L inclui uma escala visual analógica (EQ-VAS), na qual os respondentes avaliam seu estado de saúde atual em uma escala de 0 a 100. Variáveis contínuas foram descritas por média ± desvio padrão e variáveis categóricas por frequências absolutas e relativas. As associações foram avaliadas por regressão de Poisson com variância robusta, estimando-se a razão de prevalência (RP) e IC95%.</w:t>
      </w:r>
      <w:r w:rsidRPr="00D476CA">
        <w:rPr>
          <w:b/>
          <w:color w:val="1A1A1A"/>
          <w:sz w:val="22"/>
        </w:rPr>
        <w:t xml:space="preserve"> Resultados:</w:t>
      </w:r>
      <w:r w:rsidRPr="00D476CA">
        <w:rPr>
          <w:color w:val="1A1A1A"/>
          <w:sz w:val="22"/>
        </w:rPr>
        <w:t xml:space="preserve"> Foram incluídos 260 pacientes (média de idade de 63,3 ± 12,5 anos e 59,6% do sexo feminino). Baixa qualidade de vida, definida por escore de utilidade ≤ 0,78 para indivíduos ≥ 65 anos ou ≤ 0,86 para aqueles &lt; 65 anos, foi observada em 43,1% da amostra. Na análise multivariada, maiores valores de índice de massa corporal (IMC) (RP=1,044; IC95%: 1,023–1,065; p&lt;0,001) e de hemoglobina glicada (RP=1,090; IC95%: 1,009–1,178; p=0,028) estiveram associados à pior qualidade de vida. O tempo de DM apresentou associação limítrofe (RP=1,014; IC95%: 1,000–1,027; p=0,050), enquanto a retinopatia não se associou ao desfecho (p=0,461). </w:t>
      </w:r>
      <w:r w:rsidRPr="00D476CA">
        <w:rPr>
          <w:b/>
          <w:color w:val="1A1A1A"/>
          <w:sz w:val="22"/>
        </w:rPr>
        <w:t>Conclusão:</w:t>
      </w:r>
      <w:r w:rsidRPr="00D476CA">
        <w:rPr>
          <w:color w:val="1A1A1A"/>
          <w:sz w:val="22"/>
        </w:rPr>
        <w:t xml:space="preserve"> Os achados demonstram associação da qualidade de vida a fatores modificáveis, como IMC e hemoglobina glicada, e reforçam a necessidade de intervenções direcionadas ao controle do peso e da glicemia, que podem contribuir para melhor qualidade de vida.</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Escola de Medicina da Afya Universidade Unigranrio, Duque de Caxias, Brasil</w:t>
      </w:r>
    </w:p>
    <w:p w:rsidR="000B5910" w:rsidRDefault="00057F5C">
      <w:pPr>
        <w:spacing w:after="0" w:line="252" w:lineRule="auto"/>
      </w:pPr>
      <w:r>
        <w:rPr>
          <w:color w:val="595959"/>
          <w:sz w:val="13"/>
          <w:vertAlign w:val="superscript"/>
        </w:rPr>
        <w:t>2</w:t>
      </w:r>
      <w:r>
        <w:rPr>
          <w:color w:val="595959"/>
          <w:sz w:val="16"/>
        </w:rPr>
        <w:t xml:space="preserve"> Escola de Medicina da Universidade Federal do Rio Grande do Sul, Porto Alegre, Brasil</w:t>
      </w:r>
    </w:p>
    <w:p w:rsidR="000B5910" w:rsidRDefault="00057F5C">
      <w:pPr>
        <w:spacing w:after="0" w:line="252" w:lineRule="auto"/>
      </w:pPr>
      <w:r>
        <w:rPr>
          <w:color w:val="595959"/>
          <w:sz w:val="13"/>
          <w:vertAlign w:val="superscript"/>
        </w:rPr>
        <w:t>3</w:t>
      </w:r>
      <w:r>
        <w:rPr>
          <w:color w:val="595959"/>
          <w:sz w:val="16"/>
        </w:rPr>
        <w:t xml:space="preserve"> Universidade do Estado do Rio de Janeiro, Instituto de Avaliação em Tecnologia em Saúde, Rio de Janeiro, Brasil</w:t>
      </w:r>
    </w:p>
    <w:p w:rsidR="000B5910" w:rsidRDefault="00057F5C">
      <w:pPr>
        <w:spacing w:after="0" w:line="252" w:lineRule="auto"/>
      </w:pPr>
      <w:r>
        <w:rPr>
          <w:color w:val="595959"/>
          <w:sz w:val="13"/>
          <w:vertAlign w:val="superscript"/>
        </w:rPr>
        <w:t>4</w:t>
      </w:r>
      <w:r>
        <w:rPr>
          <w:color w:val="595959"/>
          <w:sz w:val="16"/>
        </w:rPr>
        <w:t xml:space="preserve"> Laboratório de Atividade Física, Diabetes e Doença Cardiovascular, Hospital de Clínicas de Porto Alegre, Porto Alegre, Brasil</w:t>
      </w:r>
    </w:p>
    <w:p w:rsidR="000B5910" w:rsidRDefault="000B5910">
      <w:pPr>
        <w:sectPr w:rsidR="000B5910">
          <w:headerReference w:type="default" r:id="rId111"/>
          <w:footerReference w:type="default" r:id="rId112"/>
          <w:pgSz w:w="12240" w:h="15840"/>
          <w:pgMar w:top="1417" w:right="1417" w:bottom="1417" w:left="1417" w:header="680" w:footer="680" w:gutter="0"/>
          <w:cols w:space="720"/>
        </w:sectPr>
      </w:pPr>
    </w:p>
    <w:p w:rsidR="000B5910" w:rsidRPr="00843B97" w:rsidRDefault="00057F5C" w:rsidP="00843B97">
      <w:pPr>
        <w:spacing w:before="80" w:after="160" w:line="240" w:lineRule="auto"/>
        <w:jc w:val="both"/>
        <w:rPr>
          <w:spacing w:val="-11"/>
          <w:sz w:val="20"/>
          <w:szCs w:val="20"/>
        </w:rPr>
      </w:pPr>
      <w:r>
        <w:rPr>
          <w:b/>
          <w:color w:val="1A1A1A"/>
          <w:spacing w:val="-11"/>
          <w:sz w:val="28"/>
          <w:szCs w:val="24"/>
        </w:rPr>
        <w:lastRenderedPageBreak/>
        <w:t xml:space="preserve">CONSUMO DE ALIMENTOS ULTRAPROCESSADOS E MONITORIZAÇÃO CONTÍNUA DE GLICOSE EM INDIVÍDUOS COM DIABETES MELLITUS TIPO 2 E EXCESSO DE PESO SUBMETIDOS </w:t>
      </w:r>
      <w:proofErr w:type="gramStart"/>
      <w:r>
        <w:rPr>
          <w:b/>
          <w:color w:val="1A1A1A"/>
          <w:spacing w:val="-11"/>
          <w:sz w:val="28"/>
          <w:szCs w:val="24"/>
        </w:rPr>
        <w:t>A</w:t>
      </w:r>
      <w:proofErr w:type="gramEnd"/>
      <w:r>
        <w:rPr>
          <w:b/>
          <w:color w:val="1A1A1A"/>
          <w:spacing w:val="-11"/>
          <w:sz w:val="28"/>
          <w:szCs w:val="24"/>
        </w:rPr>
        <w:t xml:space="preserve"> UMA DIETA PLANT-BASED OU DIETA SAUDÁVEL PADRÃO: ENSAIO CLÍNICO RANDOMIZADO PARALELO</w:t>
      </w:r>
    </w:p>
    <w:p w:rsidR="000B5910" w:rsidRPr="00843B97" w:rsidRDefault="00057F5C" w:rsidP="00843B97">
      <w:pPr>
        <w:spacing w:after="28" w:line="240" w:lineRule="auto"/>
        <w:jc w:val="right"/>
        <w:rPr>
          <w:sz w:val="20"/>
          <w:szCs w:val="20"/>
        </w:rPr>
      </w:pPr>
      <w:r w:rsidRPr="00843B97">
        <w:rPr>
          <w:color w:val="1A1A1A"/>
          <w:sz w:val="20"/>
          <w:szCs w:val="20"/>
        </w:rPr>
        <w:t>Bárbara Birck Martins</w:t>
      </w:r>
      <w:r w:rsidRPr="00843B97">
        <w:rPr>
          <w:color w:val="1A1A1A"/>
          <w:sz w:val="20"/>
          <w:szCs w:val="20"/>
          <w:vertAlign w:val="superscript"/>
        </w:rPr>
        <w:t>1</w:t>
      </w:r>
      <w:r w:rsidRPr="00843B97">
        <w:rPr>
          <w:sz w:val="20"/>
          <w:szCs w:val="20"/>
        </w:rPr>
        <w:br/>
      </w:r>
      <w:r w:rsidRPr="00843B97">
        <w:rPr>
          <w:color w:val="1A1A1A"/>
          <w:sz w:val="20"/>
          <w:szCs w:val="20"/>
        </w:rPr>
        <w:t>Paula Portal Teixeira</w:t>
      </w:r>
      <w:r w:rsidRPr="00843B97">
        <w:rPr>
          <w:color w:val="1A1A1A"/>
          <w:sz w:val="20"/>
          <w:szCs w:val="20"/>
          <w:vertAlign w:val="superscript"/>
        </w:rPr>
        <w:t>1</w:t>
      </w:r>
      <w:r w:rsidRPr="00843B97">
        <w:rPr>
          <w:sz w:val="20"/>
          <w:szCs w:val="20"/>
        </w:rPr>
        <w:br/>
      </w:r>
      <w:r w:rsidRPr="00843B97">
        <w:rPr>
          <w:color w:val="1A1A1A"/>
          <w:sz w:val="20"/>
          <w:szCs w:val="20"/>
        </w:rPr>
        <w:t>Poliana Espíndola Correia</w:t>
      </w:r>
      <w:r w:rsidRPr="00843B97">
        <w:rPr>
          <w:color w:val="1A1A1A"/>
          <w:sz w:val="20"/>
          <w:szCs w:val="20"/>
          <w:vertAlign w:val="superscript"/>
        </w:rPr>
        <w:t>1</w:t>
      </w:r>
      <w:r w:rsidRPr="00843B97">
        <w:rPr>
          <w:sz w:val="20"/>
          <w:szCs w:val="20"/>
        </w:rPr>
        <w:br/>
      </w:r>
      <w:r w:rsidRPr="00843B97">
        <w:rPr>
          <w:color w:val="1A1A1A"/>
          <w:sz w:val="20"/>
          <w:szCs w:val="20"/>
        </w:rPr>
        <w:t>Olavo da Silva Porepp de Carvalho</w:t>
      </w:r>
      <w:r w:rsidRPr="00843B97">
        <w:rPr>
          <w:color w:val="1A1A1A"/>
          <w:sz w:val="20"/>
          <w:szCs w:val="20"/>
          <w:vertAlign w:val="superscript"/>
        </w:rPr>
        <w:t>1</w:t>
      </w:r>
      <w:r w:rsidRPr="00843B97">
        <w:rPr>
          <w:sz w:val="20"/>
          <w:szCs w:val="20"/>
        </w:rPr>
        <w:br/>
      </w:r>
      <w:r w:rsidRPr="00843B97">
        <w:rPr>
          <w:color w:val="1A1A1A"/>
          <w:sz w:val="20"/>
          <w:szCs w:val="20"/>
        </w:rPr>
        <w:t>Laura Backes Kunzler</w:t>
      </w:r>
      <w:r w:rsidRPr="00843B97">
        <w:rPr>
          <w:color w:val="1A1A1A"/>
          <w:sz w:val="20"/>
          <w:szCs w:val="20"/>
          <w:vertAlign w:val="superscript"/>
        </w:rPr>
        <w:t>1</w:t>
      </w:r>
      <w:r w:rsidRPr="00843B97">
        <w:rPr>
          <w:sz w:val="20"/>
          <w:szCs w:val="20"/>
        </w:rPr>
        <w:br/>
      </w:r>
      <w:r w:rsidRPr="00843B97">
        <w:rPr>
          <w:color w:val="1A1A1A"/>
          <w:sz w:val="20"/>
          <w:szCs w:val="20"/>
        </w:rPr>
        <w:t>Gabriella Ricther da Natividade</w:t>
      </w:r>
      <w:r w:rsidRPr="00843B97">
        <w:rPr>
          <w:color w:val="1A1A1A"/>
          <w:sz w:val="20"/>
          <w:szCs w:val="20"/>
          <w:vertAlign w:val="superscript"/>
        </w:rPr>
        <w:t>1</w:t>
      </w:r>
      <w:r w:rsidRPr="00843B97">
        <w:rPr>
          <w:sz w:val="20"/>
          <w:szCs w:val="20"/>
        </w:rPr>
        <w:br/>
      </w:r>
      <w:r w:rsidRPr="00843B97">
        <w:rPr>
          <w:color w:val="1A1A1A"/>
          <w:sz w:val="20"/>
          <w:szCs w:val="20"/>
        </w:rPr>
        <w:t>Laura Kersting Chadanowicz</w:t>
      </w:r>
      <w:r w:rsidRPr="00843B97">
        <w:rPr>
          <w:color w:val="1A1A1A"/>
          <w:sz w:val="20"/>
          <w:szCs w:val="20"/>
          <w:vertAlign w:val="superscript"/>
        </w:rPr>
        <w:t>1</w:t>
      </w:r>
      <w:r w:rsidRPr="00843B97">
        <w:rPr>
          <w:sz w:val="20"/>
          <w:szCs w:val="20"/>
        </w:rPr>
        <w:br/>
      </w:r>
      <w:r w:rsidRPr="00843B97">
        <w:rPr>
          <w:color w:val="1A1A1A"/>
          <w:sz w:val="20"/>
          <w:szCs w:val="20"/>
        </w:rPr>
        <w:t>Bruna Lorence de Fraga</w:t>
      </w:r>
      <w:r w:rsidRPr="00843B97">
        <w:rPr>
          <w:color w:val="1A1A1A"/>
          <w:sz w:val="20"/>
          <w:szCs w:val="20"/>
          <w:vertAlign w:val="superscript"/>
        </w:rPr>
        <w:t>1</w:t>
      </w:r>
      <w:r w:rsidRPr="00843B97">
        <w:rPr>
          <w:sz w:val="20"/>
          <w:szCs w:val="20"/>
        </w:rPr>
        <w:br/>
      </w:r>
      <w:r w:rsidRPr="00843B97">
        <w:rPr>
          <w:color w:val="1A1A1A"/>
          <w:sz w:val="20"/>
          <w:szCs w:val="20"/>
        </w:rPr>
        <w:t>Sofia Michaelsen Premebida</w:t>
      </w:r>
      <w:r w:rsidRPr="00843B97">
        <w:rPr>
          <w:color w:val="1A1A1A"/>
          <w:sz w:val="20"/>
          <w:szCs w:val="20"/>
          <w:vertAlign w:val="superscript"/>
        </w:rPr>
        <w:t>1</w:t>
      </w:r>
      <w:r w:rsidRPr="00843B97">
        <w:rPr>
          <w:sz w:val="20"/>
          <w:szCs w:val="20"/>
        </w:rPr>
        <w:br/>
      </w:r>
      <w:r w:rsidRPr="00843B97">
        <w:rPr>
          <w:color w:val="1A1A1A"/>
          <w:sz w:val="20"/>
          <w:szCs w:val="20"/>
        </w:rPr>
        <w:t>Bruno Guimarães Scalco</w:t>
      </w:r>
      <w:r w:rsidRPr="00843B97">
        <w:rPr>
          <w:color w:val="1A1A1A"/>
          <w:sz w:val="20"/>
          <w:szCs w:val="20"/>
          <w:vertAlign w:val="superscript"/>
        </w:rPr>
        <w:t>1</w:t>
      </w:r>
      <w:r w:rsidRPr="00843B97">
        <w:rPr>
          <w:sz w:val="20"/>
          <w:szCs w:val="20"/>
        </w:rPr>
        <w:br/>
      </w:r>
      <w:r w:rsidRPr="00843B97">
        <w:rPr>
          <w:color w:val="1A1A1A"/>
          <w:sz w:val="20"/>
          <w:szCs w:val="20"/>
        </w:rPr>
        <w:t>Pedro Cravo Melo</w:t>
      </w:r>
      <w:r w:rsidRPr="00843B97">
        <w:rPr>
          <w:color w:val="1A1A1A"/>
          <w:sz w:val="20"/>
          <w:szCs w:val="20"/>
          <w:vertAlign w:val="superscript"/>
        </w:rPr>
        <w:t>2</w:t>
      </w:r>
      <w:r w:rsidRPr="00843B97">
        <w:rPr>
          <w:sz w:val="20"/>
          <w:szCs w:val="20"/>
        </w:rPr>
        <w:br/>
      </w:r>
      <w:r w:rsidRPr="00843B97">
        <w:rPr>
          <w:color w:val="1A1A1A"/>
          <w:sz w:val="20"/>
          <w:szCs w:val="20"/>
        </w:rPr>
        <w:t>Luiza de Oliveira Magalhães</w:t>
      </w:r>
      <w:r w:rsidRPr="00843B97">
        <w:rPr>
          <w:color w:val="1A1A1A"/>
          <w:sz w:val="20"/>
          <w:szCs w:val="20"/>
          <w:vertAlign w:val="superscript"/>
        </w:rPr>
        <w:t>1</w:t>
      </w:r>
      <w:r w:rsidRPr="00843B97">
        <w:rPr>
          <w:sz w:val="20"/>
          <w:szCs w:val="20"/>
        </w:rPr>
        <w:br/>
      </w:r>
      <w:r w:rsidRPr="00843B97">
        <w:rPr>
          <w:color w:val="1A1A1A"/>
          <w:sz w:val="20"/>
          <w:szCs w:val="20"/>
        </w:rPr>
        <w:t>Mannoela Becker Genz</w:t>
      </w:r>
      <w:r w:rsidRPr="00843B97">
        <w:rPr>
          <w:color w:val="1A1A1A"/>
          <w:sz w:val="20"/>
          <w:szCs w:val="20"/>
          <w:vertAlign w:val="superscript"/>
        </w:rPr>
        <w:t>1</w:t>
      </w:r>
      <w:r w:rsidRPr="00843B97">
        <w:rPr>
          <w:sz w:val="20"/>
          <w:szCs w:val="20"/>
        </w:rPr>
        <w:br/>
      </w:r>
      <w:r w:rsidRPr="00843B97">
        <w:rPr>
          <w:color w:val="1A1A1A"/>
          <w:sz w:val="20"/>
          <w:szCs w:val="20"/>
        </w:rPr>
        <w:t>Luigi Filipi Assandri Bonato</w:t>
      </w:r>
      <w:r w:rsidRPr="00843B97">
        <w:rPr>
          <w:color w:val="1A1A1A"/>
          <w:sz w:val="20"/>
          <w:szCs w:val="20"/>
          <w:vertAlign w:val="superscript"/>
        </w:rPr>
        <w:t>2</w:t>
      </w:r>
      <w:r w:rsidRPr="00843B97">
        <w:rPr>
          <w:sz w:val="20"/>
          <w:szCs w:val="20"/>
        </w:rPr>
        <w:br/>
      </w:r>
      <w:r w:rsidRPr="00843B97">
        <w:rPr>
          <w:color w:val="1A1A1A"/>
          <w:sz w:val="20"/>
          <w:szCs w:val="20"/>
        </w:rPr>
        <w:t>Luisa Tarabini Fossari</w:t>
      </w:r>
      <w:r w:rsidRPr="00843B97">
        <w:rPr>
          <w:color w:val="1A1A1A"/>
          <w:sz w:val="20"/>
          <w:szCs w:val="20"/>
          <w:vertAlign w:val="superscript"/>
        </w:rPr>
        <w:t>2</w:t>
      </w:r>
      <w:r w:rsidRPr="00843B97">
        <w:rPr>
          <w:sz w:val="20"/>
          <w:szCs w:val="20"/>
        </w:rPr>
        <w:br/>
      </w:r>
      <w:r w:rsidRPr="00843B97">
        <w:rPr>
          <w:color w:val="1A1A1A"/>
          <w:sz w:val="20"/>
          <w:szCs w:val="20"/>
        </w:rPr>
        <w:t>Fernando Gerchman</w:t>
      </w:r>
      <w:r w:rsidRPr="00843B97">
        <w:rPr>
          <w:color w:val="1A1A1A"/>
          <w:sz w:val="20"/>
          <w:szCs w:val="20"/>
          <w:vertAlign w:val="superscript"/>
        </w:rPr>
        <w:t>1</w:t>
      </w:r>
    </w:p>
    <w:p w:rsidR="000B5910" w:rsidRDefault="00057F5C" w:rsidP="00843B97">
      <w:pPr>
        <w:spacing w:before="160" w:after="100" w:line="240" w:lineRule="auto"/>
        <w:rPr>
          <w:sz w:val="22"/>
          <w:szCs w:val="24"/>
        </w:rPr>
      </w:pPr>
      <w:r>
        <w:rPr>
          <w:b/>
          <w:color w:val="1A1A1A"/>
          <w:sz w:val="22"/>
          <w:szCs w:val="24"/>
        </w:rPr>
        <w:t>RESUMO</w:t>
      </w:r>
    </w:p>
    <w:p w:rsidR="000B5910" w:rsidRPr="00843B97" w:rsidRDefault="00057F5C" w:rsidP="00843B97">
      <w:pPr>
        <w:spacing w:after="80" w:line="240" w:lineRule="auto"/>
        <w:jc w:val="both"/>
        <w:rPr>
          <w:sz w:val="22"/>
        </w:rPr>
      </w:pPr>
      <w:r w:rsidRPr="00843B97">
        <w:rPr>
          <w:b/>
          <w:color w:val="1A1A1A"/>
          <w:sz w:val="22"/>
        </w:rPr>
        <w:t xml:space="preserve">Introdução: </w:t>
      </w:r>
      <w:r w:rsidRPr="00843B97">
        <w:rPr>
          <w:color w:val="1A1A1A"/>
          <w:sz w:val="22"/>
        </w:rPr>
        <w:t xml:space="preserve">Dietas plant-based têm demonstrado eficácia na melhora da saúde cardiometabólica ao reduzirem o consumo de alimentos de origem animal e aumentarem </w:t>
      </w:r>
      <w:proofErr w:type="gramStart"/>
      <w:r w:rsidRPr="00843B97">
        <w:rPr>
          <w:color w:val="1A1A1A"/>
          <w:sz w:val="22"/>
        </w:rPr>
        <w:t>a</w:t>
      </w:r>
      <w:proofErr w:type="gramEnd"/>
      <w:r w:rsidRPr="00843B97">
        <w:rPr>
          <w:color w:val="1A1A1A"/>
          <w:sz w:val="22"/>
        </w:rPr>
        <w:t xml:space="preserve"> ingestão de alimentos de origem vegetal. Mas, não se sabe se essa dieta reduz o consumo de alimentos ultraprocessados (AUP) e melhora o controle glicêmico. </w:t>
      </w:r>
      <w:r w:rsidRPr="00843B97">
        <w:rPr>
          <w:b/>
          <w:color w:val="1A1A1A"/>
          <w:sz w:val="22"/>
        </w:rPr>
        <w:t xml:space="preserve">Objetivo: </w:t>
      </w:r>
      <w:r w:rsidRPr="00843B97">
        <w:rPr>
          <w:color w:val="1A1A1A"/>
          <w:sz w:val="22"/>
        </w:rPr>
        <w:t xml:space="preserve">Comparar o impacto de uma dieta plant-based vs. Uma dieta saudável padrão no consumo de AUP em adultos com diabetes tipo 2 (DM2) e excesso de peso. </w:t>
      </w:r>
      <w:r w:rsidRPr="00843B97">
        <w:rPr>
          <w:b/>
          <w:color w:val="1A1A1A"/>
          <w:sz w:val="22"/>
        </w:rPr>
        <w:t>Métodos:</w:t>
      </w:r>
      <w:r w:rsidRPr="00843B97">
        <w:rPr>
          <w:color w:val="1A1A1A"/>
          <w:sz w:val="22"/>
        </w:rPr>
        <w:t xml:space="preserve"> Subanálise cega de um ensaio clínico randomizado, comparando dietas hipocalóricas plant-based vs. Saudável padrão em adultos com DM2 e excesso de peso (IMC 25–40 kg/m²), ao longo de 12 semanas. </w:t>
      </w:r>
      <w:proofErr w:type="gramStart"/>
      <w:r w:rsidRPr="00843B97">
        <w:rPr>
          <w:color w:val="1A1A1A"/>
          <w:sz w:val="22"/>
        </w:rPr>
        <w:t>A</w:t>
      </w:r>
      <w:proofErr w:type="gramEnd"/>
      <w:r w:rsidRPr="00843B97">
        <w:rPr>
          <w:color w:val="1A1A1A"/>
          <w:sz w:val="22"/>
        </w:rPr>
        <w:t xml:space="preserve"> alimentação foi avaliada por registros pesados (3 dias no basal; 7 dias na semana 12). Monitores contínuos de glicose (FreeStyle Libre®) foram utilizados antes e após 12 semanas de intervenção. Os nutrientes foram analisados pelo NutriBase 19 Pro. Os alimentos foram categorizados pela classificação NOVA e pela origem (animal, vegetal ou mista). Utilizou-se GEE (SPSS 18.0), com significância de p&lt;0,05.</w:t>
      </w:r>
      <w:r w:rsidRPr="00843B97">
        <w:rPr>
          <w:b/>
          <w:color w:val="1A1A1A"/>
          <w:sz w:val="22"/>
        </w:rPr>
        <w:t xml:space="preserve"> Resultados: </w:t>
      </w:r>
      <w:r w:rsidRPr="00843B97">
        <w:rPr>
          <w:color w:val="1A1A1A"/>
          <w:sz w:val="22"/>
        </w:rPr>
        <w:t xml:space="preserve">Foram incluídos 58 participantes [30/28 por grupo; 64% mulheres, IMC médio 31,6 ± 3,6 kg/m² e mediana de HbA1c de 8,9% (7,8–9,9)]. O consumo energético total (Grupo A = ∆ -606,17 kcal [IC 95%: -835 a -377] vs. Grupo B = ∆ -551,55 kcal [IC 95%: -686,7 a -416,4]; ptempo&lt;0,001) mudou ao longo do tempo, porém sem diferenças entre grupos. O consumo de alimentos in natura/minimamente processados de origem vegetal não mudou significativamente. Ambos os grupos diminuíram significativamente o consumo total de AUP ao longo do tempo, mas o grupo A demonstrou maior redução (pt&lt;0,001; pinteração=0,012). Já o grupo B demonstrou maior redução no consumo de alimentos in natura de origem animal (pt&lt;0,001; pi&lt;0,001), porém aumento de AUP de origem vegetal (pt&lt;0,001; pi=0,006). Os dois grupos demonstraram melhora significativa dos indicadores de gestão da glicose (pt&lt;0,001), tempo no alvo (pt&lt;0,001) e tempo acima do alvo (pt=0,002), sem diferença entre grupos. </w:t>
      </w:r>
      <w:r w:rsidRPr="00843B97">
        <w:rPr>
          <w:b/>
          <w:color w:val="1A1A1A"/>
          <w:sz w:val="22"/>
        </w:rPr>
        <w:t>Conclusão:</w:t>
      </w:r>
      <w:r w:rsidRPr="00843B97">
        <w:rPr>
          <w:color w:val="1A1A1A"/>
          <w:sz w:val="22"/>
        </w:rPr>
        <w:t xml:space="preserve"> Ambas as intervenções reduziram </w:t>
      </w:r>
      <w:proofErr w:type="gramStart"/>
      <w:r w:rsidRPr="00843B97">
        <w:rPr>
          <w:color w:val="1A1A1A"/>
          <w:sz w:val="22"/>
        </w:rPr>
        <w:t>a</w:t>
      </w:r>
      <w:proofErr w:type="gramEnd"/>
      <w:r w:rsidRPr="00843B97">
        <w:rPr>
          <w:color w:val="1A1A1A"/>
          <w:sz w:val="22"/>
        </w:rPr>
        <w:t xml:space="preserve"> ingestão calórica e melhoraram o controle glicêmico. No Grupo A, houve maior redução no consumo de AUP, enquanto no Grupo B houve menor consumo de alimentos de origem animal e maior de AUP de base vegetal. Esses achados sugerem que a melhora glicêmica pode </w:t>
      </w:r>
      <w:r w:rsidRPr="00843B97">
        <w:rPr>
          <w:color w:val="1A1A1A"/>
          <w:sz w:val="22"/>
        </w:rPr>
        <w:lastRenderedPageBreak/>
        <w:t>ocorrer independentemente do grau de processamento dos alimentos, desde que haja restrição calórica e adequada distribuição de macronutrientes.</w:t>
      </w:r>
    </w:p>
    <w:p w:rsidR="000B5910" w:rsidRDefault="000B5910">
      <w:pPr>
        <w:pBdr>
          <w:bottom w:val="single" w:sz="4" w:space="2" w:color="808080"/>
        </w:pBdr>
        <w:spacing w:before="8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Universidade Federal do Rio Grande do Sul</w:t>
      </w:r>
    </w:p>
    <w:p w:rsidR="000B5910" w:rsidRPr="008A58E8" w:rsidRDefault="00057F5C">
      <w:pPr>
        <w:spacing w:after="0" w:line="252" w:lineRule="auto"/>
        <w:rPr>
          <w:sz w:val="16"/>
          <w:szCs w:val="16"/>
        </w:rPr>
      </w:pPr>
      <w:r w:rsidRPr="008A58E8">
        <w:rPr>
          <w:color w:val="595959"/>
          <w:sz w:val="16"/>
          <w:szCs w:val="16"/>
          <w:vertAlign w:val="superscript"/>
        </w:rPr>
        <w:t>2</w:t>
      </w:r>
      <w:r w:rsidRPr="008A58E8">
        <w:rPr>
          <w:color w:val="595959"/>
          <w:sz w:val="16"/>
          <w:szCs w:val="16"/>
        </w:rPr>
        <w:t xml:space="preserve"> Universidade Federal de Ciências da Saúde de Porto Alegre</w:t>
      </w:r>
    </w:p>
    <w:p w:rsidR="000B5910" w:rsidRDefault="000B5910">
      <w:pPr>
        <w:sectPr w:rsidR="000B5910">
          <w:headerReference w:type="default" r:id="rId113"/>
          <w:footerReference w:type="default" r:id="rId114"/>
          <w:pgSz w:w="12240" w:h="15840"/>
          <w:pgMar w:top="1417" w:right="1417" w:bottom="1417" w:left="1417" w:header="680" w:footer="680" w:gutter="0"/>
          <w:cols w:space="720"/>
        </w:sectPr>
      </w:pPr>
    </w:p>
    <w:p w:rsidR="000B5910" w:rsidRDefault="00057F5C">
      <w:pPr>
        <w:spacing w:before="80" w:line="252" w:lineRule="auto"/>
        <w:jc w:val="center"/>
        <w:rPr>
          <w:spacing w:val="-23"/>
          <w:sz w:val="22"/>
          <w:szCs w:val="24"/>
        </w:rPr>
      </w:pPr>
      <w:r>
        <w:rPr>
          <w:b/>
          <w:color w:val="1A1A1A"/>
          <w:spacing w:val="-23"/>
          <w:sz w:val="28"/>
          <w:szCs w:val="24"/>
        </w:rPr>
        <w:lastRenderedPageBreak/>
        <w:t>DISCORDÂNCIA CLÍNICO-LABORATORIAL NO DIABETES MELLITUS TIPO 2: DIAGNÓSTICO DE HEMOGLOBINOPATIA HEREDITÁRIA – RELATO DE CASO</w:t>
      </w:r>
    </w:p>
    <w:p w:rsidR="000B5910" w:rsidRPr="00843B97" w:rsidRDefault="00057F5C">
      <w:pPr>
        <w:spacing w:after="40" w:line="252" w:lineRule="auto"/>
        <w:jc w:val="right"/>
        <w:rPr>
          <w:szCs w:val="21"/>
        </w:rPr>
      </w:pPr>
      <w:r w:rsidRPr="00843B97">
        <w:rPr>
          <w:color w:val="1A1A1A"/>
          <w:szCs w:val="21"/>
        </w:rPr>
        <w:t>Murilo Gonçalves Braga</w:t>
      </w:r>
      <w:r w:rsidRPr="00843B97">
        <w:rPr>
          <w:color w:val="1A1A1A"/>
          <w:szCs w:val="21"/>
          <w:vertAlign w:val="superscript"/>
        </w:rPr>
        <w:t>1</w:t>
      </w:r>
      <w:r w:rsidRPr="00843B97">
        <w:rPr>
          <w:szCs w:val="21"/>
        </w:rPr>
        <w:br/>
      </w:r>
      <w:r w:rsidRPr="00843B97">
        <w:rPr>
          <w:color w:val="1A1A1A"/>
          <w:szCs w:val="21"/>
        </w:rPr>
        <w:t>Edgar Bastos de Braga</w:t>
      </w:r>
      <w:r w:rsidRPr="00843B97">
        <w:rPr>
          <w:color w:val="1A1A1A"/>
          <w:szCs w:val="21"/>
          <w:vertAlign w:val="superscript"/>
        </w:rPr>
        <w:t>2</w:t>
      </w:r>
      <w:r w:rsidRPr="00843B97">
        <w:rPr>
          <w:szCs w:val="21"/>
        </w:rPr>
        <w:br/>
      </w:r>
      <w:r w:rsidRPr="00843B97">
        <w:rPr>
          <w:color w:val="1A1A1A"/>
          <w:szCs w:val="21"/>
        </w:rPr>
        <w:t>Antônia dos Santos Bobrowski</w:t>
      </w:r>
      <w:r w:rsidRPr="00843B97">
        <w:rPr>
          <w:color w:val="1A1A1A"/>
          <w:szCs w:val="21"/>
          <w:vertAlign w:val="superscript"/>
        </w:rPr>
        <w:t>1</w:t>
      </w:r>
      <w:r w:rsidRPr="00843B97">
        <w:rPr>
          <w:szCs w:val="21"/>
        </w:rPr>
        <w:br/>
      </w:r>
      <w:r w:rsidRPr="00843B97">
        <w:rPr>
          <w:color w:val="1A1A1A"/>
          <w:szCs w:val="21"/>
        </w:rPr>
        <w:t>Helena Uchôa</w:t>
      </w:r>
      <w:r w:rsidRPr="00843B97">
        <w:rPr>
          <w:color w:val="1A1A1A"/>
          <w:szCs w:val="21"/>
          <w:vertAlign w:val="superscript"/>
        </w:rPr>
        <w:t>1</w:t>
      </w:r>
      <w:r w:rsidRPr="00843B97">
        <w:rPr>
          <w:szCs w:val="21"/>
        </w:rPr>
        <w:br/>
      </w:r>
      <w:r w:rsidRPr="00843B97">
        <w:rPr>
          <w:color w:val="1A1A1A"/>
          <w:szCs w:val="21"/>
        </w:rPr>
        <w:t>Inácio Kehl</w:t>
      </w:r>
      <w:r w:rsidRPr="00843B97">
        <w:rPr>
          <w:color w:val="1A1A1A"/>
          <w:szCs w:val="21"/>
          <w:vertAlign w:val="superscript"/>
        </w:rPr>
        <w:t>1</w:t>
      </w:r>
      <w:r w:rsidRPr="00843B97">
        <w:rPr>
          <w:szCs w:val="21"/>
        </w:rPr>
        <w:br/>
      </w:r>
      <w:r w:rsidRPr="00843B97">
        <w:rPr>
          <w:color w:val="1A1A1A"/>
          <w:szCs w:val="21"/>
        </w:rPr>
        <w:t>Leonardo Silveira Bastolla</w:t>
      </w:r>
      <w:r w:rsidRPr="00843B97">
        <w:rPr>
          <w:color w:val="1A1A1A"/>
          <w:szCs w:val="21"/>
          <w:vertAlign w:val="superscript"/>
        </w:rPr>
        <w:t>1</w:t>
      </w:r>
      <w:r w:rsidRPr="00843B97">
        <w:rPr>
          <w:szCs w:val="21"/>
        </w:rPr>
        <w:br/>
      </w:r>
      <w:r w:rsidRPr="00843B97">
        <w:rPr>
          <w:color w:val="1A1A1A"/>
          <w:szCs w:val="21"/>
        </w:rPr>
        <w:t>Márcio Cruvinel Barbosa</w:t>
      </w:r>
      <w:r w:rsidRPr="00843B97">
        <w:rPr>
          <w:color w:val="1A1A1A"/>
          <w:szCs w:val="21"/>
          <w:vertAlign w:val="superscript"/>
        </w:rPr>
        <w:t>1</w:t>
      </w:r>
      <w:r w:rsidRPr="00843B97">
        <w:rPr>
          <w:szCs w:val="21"/>
        </w:rPr>
        <w:br/>
      </w:r>
      <w:r w:rsidRPr="00843B97">
        <w:rPr>
          <w:color w:val="1A1A1A"/>
          <w:szCs w:val="21"/>
        </w:rPr>
        <w:t>Marco Antônio Brugnarotto Galvan</w:t>
      </w:r>
      <w:r w:rsidRPr="00843B97">
        <w:rPr>
          <w:color w:val="1A1A1A"/>
          <w:szCs w:val="21"/>
          <w:vertAlign w:val="superscript"/>
        </w:rPr>
        <w:t>1</w:t>
      </w:r>
      <w:r w:rsidRPr="00843B97">
        <w:rPr>
          <w:szCs w:val="21"/>
        </w:rPr>
        <w:br/>
      </w:r>
      <w:r w:rsidRPr="00843B97">
        <w:rPr>
          <w:color w:val="1A1A1A"/>
          <w:szCs w:val="21"/>
        </w:rPr>
        <w:t>Matheus Coelho Brasco</w:t>
      </w:r>
      <w:r w:rsidRPr="00843B97">
        <w:rPr>
          <w:color w:val="1A1A1A"/>
          <w:szCs w:val="21"/>
          <w:vertAlign w:val="superscript"/>
        </w:rPr>
        <w:t>1</w:t>
      </w:r>
      <w:r w:rsidRPr="00843B97">
        <w:rPr>
          <w:szCs w:val="21"/>
        </w:rPr>
        <w:br/>
      </w:r>
      <w:r w:rsidRPr="00843B97">
        <w:rPr>
          <w:color w:val="1A1A1A"/>
          <w:szCs w:val="21"/>
        </w:rPr>
        <w:t>Nur Abdalla Juma Abdel Hamid</w:t>
      </w:r>
      <w:r w:rsidRPr="00843B97">
        <w:rPr>
          <w:color w:val="1A1A1A"/>
          <w:szCs w:val="21"/>
          <w:vertAlign w:val="superscript"/>
        </w:rPr>
        <w:t>1</w:t>
      </w:r>
      <w:r w:rsidRPr="00843B97">
        <w:rPr>
          <w:szCs w:val="21"/>
        </w:rPr>
        <w:br/>
      </w:r>
      <w:r w:rsidRPr="00843B97">
        <w:rPr>
          <w:color w:val="1A1A1A"/>
          <w:szCs w:val="21"/>
        </w:rPr>
        <w:t>Valentina Dall’Agnol Roman</w:t>
      </w:r>
      <w:r w:rsidRPr="00843B97">
        <w:rPr>
          <w:color w:val="1A1A1A"/>
          <w:szCs w:val="21"/>
          <w:vertAlign w:val="superscript"/>
        </w:rPr>
        <w:t>1</w:t>
      </w:r>
    </w:p>
    <w:p w:rsidR="000B5910" w:rsidRDefault="00057F5C">
      <w:pPr>
        <w:spacing w:before="200" w:after="100"/>
      </w:pPr>
      <w:r>
        <w:rPr>
          <w:b/>
          <w:color w:val="1A1A1A"/>
          <w:sz w:val="22"/>
          <w:szCs w:val="24"/>
        </w:rPr>
        <w:t>RESUMO</w:t>
      </w:r>
    </w:p>
    <w:p w:rsidR="000B5910" w:rsidRPr="00843B97" w:rsidRDefault="00057F5C">
      <w:pPr>
        <w:spacing w:after="80" w:line="264" w:lineRule="auto"/>
        <w:jc w:val="both"/>
        <w:rPr>
          <w:sz w:val="22"/>
        </w:rPr>
      </w:pPr>
      <w:r w:rsidRPr="00843B97">
        <w:rPr>
          <w:b/>
          <w:color w:val="1A1A1A"/>
          <w:sz w:val="22"/>
        </w:rPr>
        <w:t>Apresentação do Caso:</w:t>
      </w:r>
      <w:r w:rsidRPr="00843B97">
        <w:rPr>
          <w:color w:val="1A1A1A"/>
          <w:sz w:val="22"/>
        </w:rPr>
        <w:t xml:space="preserve"> Paciente feminina, 60 anos, acompanhada em ambulatório de diabetes de alto risco, com diagnóstico de diabetes mellitus tipo 2 (DM2) há mais de 5 anos e controle glicêmico refratário. Mantinha HbA1c consistentemente elevada, motivando uso prévio de insulina NPH, suspensa por episódios recorrentes de hipoglicemia. Em 2022, usava dapagliflozina/metformina (10/1000mg) e gliclazida MR (60mg), com HbA1c 8,7% e função renal normal. Para investigar </w:t>
      </w:r>
      <w:proofErr w:type="gramStart"/>
      <w:r w:rsidRPr="00843B97">
        <w:rPr>
          <w:color w:val="1A1A1A"/>
          <w:sz w:val="22"/>
        </w:rPr>
        <w:t>a</w:t>
      </w:r>
      <w:proofErr w:type="gramEnd"/>
      <w:r w:rsidRPr="00843B97">
        <w:rPr>
          <w:color w:val="1A1A1A"/>
          <w:sz w:val="22"/>
        </w:rPr>
        <w:t xml:space="preserve"> incongruência entre clínica (hipoglicemias) e laboratório (HbA1c elevada), solicitaram-se monitorização capilar e frutosamina. Após um mês, com resultados estritamente nas metas, ajustou-se a terapia para metformina 2000mg/dia e gliclazida 30mg/dia. No retorno, mesmo com controle ideal evidenciado na monitorização contínua de glicose (MCG), a HbA1c permanecia elevada. Aventou-se a hipótese de diabetes monogênico (MODY) pelo histórico familiar e refratariedade, motivando a suspensão da gliclazida e redução da metformina para 1000mg/dia. A paciente evoluiu com euglicemia sustentada, permitindo desprescrição total dos antidiabéticos. Investigações adicionais no filho, com idêntico padrão discordante, confirmaram hemoglobinopatia hereditária, responsável pela interferência analítica na HbA1c. </w:t>
      </w:r>
      <w:r w:rsidRPr="00843B97">
        <w:rPr>
          <w:b/>
          <w:color w:val="1A1A1A"/>
          <w:sz w:val="22"/>
        </w:rPr>
        <w:t xml:space="preserve">Discussão: </w:t>
      </w:r>
      <w:r w:rsidRPr="00843B97">
        <w:rPr>
          <w:color w:val="1A1A1A"/>
          <w:sz w:val="22"/>
        </w:rPr>
        <w:t xml:space="preserve">A HbA1c é essencial para acompanhar o DM2, mas sua acurácia pode ser comprometida por hemoglobinopatias estruturais, que alteram a migração molecular nos ensaios laboratoriais, gerando leituras falsamente elevadas. O caso ilustra o perigo de basear a conduta em um único marcador. O raciocínio clínico integrando frutosamina, MCG e genética foi crucial para identificar o viés. O reconhecimento precoce da variante da hemoglobina evitou tratamentos inadequados com insulina e secretagogos, mitigando o risco de hipoglicemia iatrogênica. </w:t>
      </w:r>
      <w:r w:rsidRPr="00843B97">
        <w:rPr>
          <w:b/>
          <w:color w:val="1A1A1A"/>
          <w:sz w:val="22"/>
        </w:rPr>
        <w:t>Considerações finais:</w:t>
      </w:r>
      <w:r w:rsidRPr="00843B97">
        <w:rPr>
          <w:color w:val="1A1A1A"/>
          <w:sz w:val="22"/>
        </w:rPr>
        <w:t xml:space="preserve"> O relato destaca o impacto crítico de variáveis individuais, como hemoglobinopatias, na interpretação de exames e segurança do paciente. </w:t>
      </w:r>
      <w:proofErr w:type="gramStart"/>
      <w:r w:rsidRPr="00843B97">
        <w:rPr>
          <w:color w:val="1A1A1A"/>
          <w:sz w:val="22"/>
        </w:rPr>
        <w:t>A</w:t>
      </w:r>
      <w:proofErr w:type="gramEnd"/>
      <w:r w:rsidRPr="00843B97">
        <w:rPr>
          <w:color w:val="1A1A1A"/>
          <w:sz w:val="22"/>
        </w:rPr>
        <w:t xml:space="preserve"> investigação rigorosa de inconsistências clínico-laboratoriais, evitando a intensificação terapêutica automática, foi o pilar da desprescrição bem-sucedida. Reforça-se a necessidade de medicina personalizada, onde a soberania clínica rege o manejo no DM2. </w:t>
      </w:r>
    </w:p>
    <w:p w:rsidR="000B5910" w:rsidRDefault="000B5910">
      <w:pPr>
        <w:pBdr>
          <w:bottom w:val="single" w:sz="4" w:space="2" w:color="808080"/>
        </w:pBdr>
        <w:spacing w:before="12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Pontifícia Universidade Católica do Rio Grande do Sul</w:t>
      </w:r>
    </w:p>
    <w:p w:rsidR="000B5910" w:rsidRPr="008A58E8" w:rsidRDefault="00057F5C">
      <w:pPr>
        <w:spacing w:after="0" w:line="252" w:lineRule="auto"/>
        <w:rPr>
          <w:sz w:val="16"/>
          <w:szCs w:val="16"/>
        </w:rPr>
      </w:pPr>
      <w:r w:rsidRPr="008A58E8">
        <w:rPr>
          <w:color w:val="595959"/>
          <w:sz w:val="16"/>
          <w:szCs w:val="16"/>
          <w:vertAlign w:val="superscript"/>
        </w:rPr>
        <w:t>2</w:t>
      </w:r>
      <w:r w:rsidRPr="008A58E8">
        <w:rPr>
          <w:color w:val="595959"/>
          <w:sz w:val="16"/>
          <w:szCs w:val="16"/>
        </w:rPr>
        <w:t xml:space="preserve"> Hospital Regional de Santa Maria</w:t>
      </w:r>
    </w:p>
    <w:p w:rsidR="000B5910" w:rsidRDefault="000B5910">
      <w:pPr>
        <w:sectPr w:rsidR="000B5910">
          <w:headerReference w:type="default" r:id="rId115"/>
          <w:footerReference w:type="default" r:id="rId11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PREVALÊNCIA E IMPACTO METABÓLICO DA SARCOPENIA EM PACIENTES COM DIABETES MELLITUS TIPO 2: REVISÃO SISTEMÁTICA</w:t>
      </w:r>
    </w:p>
    <w:p w:rsidR="000B5910" w:rsidRPr="00843B97" w:rsidRDefault="00057F5C">
      <w:pPr>
        <w:spacing w:after="40" w:line="252" w:lineRule="auto"/>
        <w:jc w:val="right"/>
        <w:rPr>
          <w:szCs w:val="21"/>
        </w:rPr>
      </w:pPr>
      <w:r w:rsidRPr="00843B97">
        <w:rPr>
          <w:color w:val="1A1A1A"/>
          <w:szCs w:val="21"/>
        </w:rPr>
        <w:t>Monique Vincensi Uhde</w:t>
      </w:r>
      <w:r w:rsidRPr="00843B97">
        <w:rPr>
          <w:color w:val="1A1A1A"/>
          <w:szCs w:val="21"/>
          <w:vertAlign w:val="superscript"/>
        </w:rPr>
        <w:t>1</w:t>
      </w:r>
      <w:r w:rsidRPr="00843B97">
        <w:rPr>
          <w:szCs w:val="21"/>
        </w:rPr>
        <w:br/>
      </w:r>
      <w:r w:rsidRPr="00843B97">
        <w:rPr>
          <w:color w:val="1A1A1A"/>
          <w:szCs w:val="21"/>
        </w:rPr>
        <w:t>Catherine Bischoff Rauen</w:t>
      </w:r>
      <w:r w:rsidRPr="00843B97">
        <w:rPr>
          <w:color w:val="1A1A1A"/>
          <w:szCs w:val="21"/>
          <w:vertAlign w:val="superscript"/>
        </w:rPr>
        <w:t>1</w:t>
      </w:r>
      <w:r w:rsidRPr="00843B97">
        <w:rPr>
          <w:szCs w:val="21"/>
        </w:rPr>
        <w:br/>
      </w:r>
      <w:r w:rsidRPr="00843B97">
        <w:rPr>
          <w:color w:val="1A1A1A"/>
          <w:szCs w:val="21"/>
        </w:rPr>
        <w:t>Carla Toillier</w:t>
      </w:r>
      <w:r w:rsidRPr="00843B97">
        <w:rPr>
          <w:color w:val="1A1A1A"/>
          <w:szCs w:val="21"/>
          <w:vertAlign w:val="superscript"/>
        </w:rPr>
        <w:t>1</w:t>
      </w:r>
    </w:p>
    <w:p w:rsidR="000B5910" w:rsidRPr="00843B97" w:rsidRDefault="00057F5C">
      <w:pPr>
        <w:spacing w:before="240" w:after="100"/>
        <w:rPr>
          <w:sz w:val="22"/>
        </w:rPr>
      </w:pPr>
      <w:r w:rsidRPr="00843B97">
        <w:rPr>
          <w:b/>
          <w:color w:val="1A1A1A"/>
          <w:sz w:val="22"/>
        </w:rPr>
        <w:t>RESUMO</w:t>
      </w:r>
    </w:p>
    <w:p w:rsidR="000B5910" w:rsidRPr="00843B97" w:rsidRDefault="00057F5C">
      <w:pPr>
        <w:spacing w:after="80"/>
        <w:jc w:val="both"/>
        <w:rPr>
          <w:sz w:val="22"/>
        </w:rPr>
      </w:pPr>
      <w:r w:rsidRPr="00843B97">
        <w:rPr>
          <w:b/>
          <w:color w:val="1A1A1A"/>
          <w:sz w:val="22"/>
        </w:rPr>
        <w:t>Introdução:</w:t>
      </w:r>
      <w:r w:rsidRPr="00843B97">
        <w:rPr>
          <w:color w:val="1A1A1A"/>
          <w:sz w:val="22"/>
        </w:rPr>
        <w:t xml:space="preserve"> A sarcopenia é caracterizada pela perda progressiva de massa e função muscular, sendo frequentemente associada ao envelhecimento e a doenças metabólicas. Pacientes com diabetes mellitus tipo 2 apresentam maior risco para o desenvolvimento dessa condição, devido à resistência insulínica, inflamação crônica e alterações metabólicas. </w:t>
      </w:r>
      <w:proofErr w:type="gramStart"/>
      <w:r w:rsidRPr="00843B97">
        <w:rPr>
          <w:color w:val="1A1A1A"/>
          <w:sz w:val="22"/>
        </w:rPr>
        <w:t>A</w:t>
      </w:r>
      <w:proofErr w:type="gramEnd"/>
      <w:r w:rsidRPr="00843B97">
        <w:rPr>
          <w:color w:val="1A1A1A"/>
          <w:sz w:val="22"/>
        </w:rPr>
        <w:t xml:space="preserve"> obesidade sarcopênica, caracterizada pela coexistência de excesso de gordura corporal e perda muscular, tem emergido como um importante fator de risco para pior prognóstico metabólico. </w:t>
      </w:r>
      <w:r w:rsidRPr="00843B97">
        <w:rPr>
          <w:b/>
          <w:color w:val="1A1A1A"/>
          <w:sz w:val="22"/>
        </w:rPr>
        <w:t>Objetivo:</w:t>
      </w:r>
      <w:r w:rsidRPr="00843B97">
        <w:rPr>
          <w:color w:val="1A1A1A"/>
          <w:sz w:val="22"/>
        </w:rPr>
        <w:t xml:space="preserve"> Avaliar a prevalência da sarcopenia e da obesidade sarcopênica em pacientes com diabetes mellitus tipo 2, bem como suas associações metabólicas. </w:t>
      </w:r>
      <w:r w:rsidRPr="00843B97">
        <w:rPr>
          <w:b/>
          <w:color w:val="1A1A1A"/>
          <w:sz w:val="22"/>
        </w:rPr>
        <w:t>Métodos:</w:t>
      </w:r>
      <w:r w:rsidRPr="00843B97">
        <w:rPr>
          <w:color w:val="1A1A1A"/>
          <w:sz w:val="22"/>
        </w:rPr>
        <w:t xml:space="preserve"> Revisão sistemática da literatura realizada nas bases PubMed, Scopus e Web of Science, utilizando os descritores “sarcopenia”, “sarcopenic obesity” e “type 2 diabetes mellitus”. Foram incluídos estudos observacionais e clínicos publicados entre 2015 e 2025, envolvendo pacientes adultos com diabetes tipo 2 e avaliação de sarcopenia. Foram excluídos estudos com diabetes tipo 1, estudos animais e revisões narrativas. A seleção dos estudos seguiu os critérios PRISMA. </w:t>
      </w:r>
      <w:r w:rsidRPr="00843B97">
        <w:rPr>
          <w:b/>
          <w:color w:val="1A1A1A"/>
          <w:sz w:val="22"/>
        </w:rPr>
        <w:t>Resultados:</w:t>
      </w:r>
      <w:r w:rsidRPr="00843B97">
        <w:rPr>
          <w:color w:val="1A1A1A"/>
          <w:sz w:val="22"/>
        </w:rPr>
        <w:t xml:space="preserve"> Foram identificados 278 estudos, dos quais 20 foram incluídos na análise final. A prevalência de sarcopenia em pacientes com diabetes tipo 2 variou entre 15% e 30%, dependendo da população e do método diagnóstico utilizado. Os principais fatores associados foram idade avançada, níveis elevados de hemoglobina glicada e presença de complicações metabólicas. </w:t>
      </w:r>
      <w:proofErr w:type="gramStart"/>
      <w:r w:rsidRPr="00843B97">
        <w:rPr>
          <w:color w:val="1A1A1A"/>
          <w:sz w:val="22"/>
        </w:rPr>
        <w:t>A</w:t>
      </w:r>
      <w:proofErr w:type="gramEnd"/>
      <w:r w:rsidRPr="00843B97">
        <w:rPr>
          <w:color w:val="1A1A1A"/>
          <w:sz w:val="22"/>
        </w:rPr>
        <w:t xml:space="preserve"> obesidade sarcopênica esteve associada a maior risco cardiovascular, pior controle glicêmico e maior fragilidade. </w:t>
      </w:r>
      <w:r w:rsidRPr="00843B97">
        <w:rPr>
          <w:b/>
          <w:color w:val="1A1A1A"/>
          <w:sz w:val="22"/>
        </w:rPr>
        <w:t>Conclusão:</w:t>
      </w:r>
      <w:r w:rsidRPr="00843B97">
        <w:rPr>
          <w:color w:val="1A1A1A"/>
          <w:sz w:val="22"/>
        </w:rPr>
        <w:t xml:space="preserve"> A sarcopenia é uma condição frequente em pacientes com diabetes mellitus tipo 2 e está associada a pior perfil metabólico. </w:t>
      </w:r>
      <w:proofErr w:type="gramStart"/>
      <w:r w:rsidRPr="00843B97">
        <w:rPr>
          <w:color w:val="1A1A1A"/>
          <w:sz w:val="22"/>
        </w:rPr>
        <w:t>A</w:t>
      </w:r>
      <w:proofErr w:type="gramEnd"/>
      <w:r w:rsidRPr="00843B97">
        <w:rPr>
          <w:color w:val="1A1A1A"/>
          <w:sz w:val="22"/>
        </w:rPr>
        <w:t xml:space="preserve"> identificação precoce da sarcopenia e da obesidade sarcopênica pode contribuir para estratégias terapêuticas direcionadas, incluindo intervenções nutricionais e exercício físico.</w:t>
      </w:r>
    </w:p>
    <w:p w:rsidR="000B5910" w:rsidRDefault="000B5910">
      <w:pPr>
        <w:pBdr>
          <w:bottom w:val="single" w:sz="4" w:space="2" w:color="808080"/>
        </w:pBdr>
        <w:spacing w:before="16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UNISC</w:t>
      </w:r>
    </w:p>
    <w:p w:rsidR="000B5910" w:rsidRDefault="000B5910">
      <w:pPr>
        <w:sectPr w:rsidR="000B5910">
          <w:headerReference w:type="default" r:id="rId117"/>
          <w:footerReference w:type="default" r:id="rId11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DISCREPÂNCIAS ENTRE DADOS ASSISTENCIAIS E REGISTROS NO E-SUS: IMPLICAÇÕES PARA O CUIDADO DE PACIENTES COM DIABETES MELLITUS</w:t>
      </w:r>
    </w:p>
    <w:p w:rsidR="000B5910" w:rsidRPr="008A58E8" w:rsidRDefault="00057F5C">
      <w:pPr>
        <w:spacing w:after="40" w:line="252" w:lineRule="auto"/>
        <w:jc w:val="right"/>
        <w:rPr>
          <w:szCs w:val="21"/>
        </w:rPr>
      </w:pPr>
      <w:r w:rsidRPr="008A58E8">
        <w:rPr>
          <w:color w:val="1A1A1A"/>
          <w:szCs w:val="21"/>
        </w:rPr>
        <w:t>Paula Picada Taschetto</w:t>
      </w:r>
      <w:r w:rsidRPr="008A58E8">
        <w:rPr>
          <w:color w:val="1A1A1A"/>
          <w:szCs w:val="21"/>
          <w:vertAlign w:val="superscript"/>
        </w:rPr>
        <w:t>1</w:t>
      </w:r>
      <w:r w:rsidRPr="008A58E8">
        <w:rPr>
          <w:szCs w:val="21"/>
        </w:rPr>
        <w:br/>
      </w:r>
      <w:r w:rsidRPr="008A58E8">
        <w:rPr>
          <w:color w:val="1A1A1A"/>
          <w:szCs w:val="21"/>
        </w:rPr>
        <w:t>Manuela Simões Pires Martins</w:t>
      </w:r>
      <w:r w:rsidRPr="008A58E8">
        <w:rPr>
          <w:color w:val="1A1A1A"/>
          <w:szCs w:val="21"/>
          <w:vertAlign w:val="superscript"/>
        </w:rPr>
        <w:t>1</w:t>
      </w:r>
      <w:r w:rsidRPr="008A58E8">
        <w:rPr>
          <w:szCs w:val="21"/>
        </w:rPr>
        <w:br/>
      </w:r>
      <w:r w:rsidRPr="008A58E8">
        <w:rPr>
          <w:color w:val="1A1A1A"/>
          <w:szCs w:val="21"/>
        </w:rPr>
        <w:t>Cristiane Kruger Muller</w:t>
      </w:r>
      <w:r w:rsidRPr="008A58E8">
        <w:rPr>
          <w:color w:val="1A1A1A"/>
          <w:szCs w:val="21"/>
          <w:vertAlign w:val="superscript"/>
        </w:rPr>
        <w:t>1</w:t>
      </w:r>
      <w:r w:rsidRPr="008A58E8">
        <w:rPr>
          <w:szCs w:val="21"/>
        </w:rPr>
        <w:br/>
      </w:r>
      <w:r w:rsidRPr="008A58E8">
        <w:rPr>
          <w:color w:val="1A1A1A"/>
          <w:szCs w:val="21"/>
        </w:rPr>
        <w:t>Ananda Gabrieli Sitnieski Lorenz</w:t>
      </w:r>
      <w:r w:rsidRPr="008A58E8">
        <w:rPr>
          <w:color w:val="1A1A1A"/>
          <w:szCs w:val="21"/>
          <w:vertAlign w:val="superscript"/>
        </w:rPr>
        <w:t>1</w:t>
      </w:r>
      <w:r w:rsidRPr="008A58E8">
        <w:rPr>
          <w:szCs w:val="21"/>
        </w:rPr>
        <w:br/>
      </w:r>
      <w:r w:rsidRPr="008A58E8">
        <w:rPr>
          <w:color w:val="1A1A1A"/>
          <w:szCs w:val="21"/>
        </w:rPr>
        <w:t>Rodrigo Rodrigues Ayres</w:t>
      </w:r>
      <w:r w:rsidRPr="008A58E8">
        <w:rPr>
          <w:color w:val="1A1A1A"/>
          <w:szCs w:val="21"/>
          <w:vertAlign w:val="superscript"/>
        </w:rPr>
        <w:t>1</w:t>
      </w:r>
      <w:r w:rsidRPr="008A58E8">
        <w:rPr>
          <w:szCs w:val="21"/>
        </w:rPr>
        <w:br/>
      </w:r>
      <w:r w:rsidRPr="008A58E8">
        <w:rPr>
          <w:color w:val="1A1A1A"/>
          <w:szCs w:val="21"/>
        </w:rPr>
        <w:t>Mauricio Nogueira Soares</w:t>
      </w:r>
      <w:r w:rsidRPr="008A58E8">
        <w:rPr>
          <w:color w:val="1A1A1A"/>
          <w:szCs w:val="21"/>
          <w:vertAlign w:val="superscript"/>
        </w:rPr>
        <w:t>1</w:t>
      </w:r>
    </w:p>
    <w:p w:rsidR="000B5910" w:rsidRDefault="00057F5C">
      <w:pPr>
        <w:spacing w:before="240" w:after="100"/>
      </w:pPr>
      <w:r>
        <w:rPr>
          <w:b/>
          <w:color w:val="1A1A1A"/>
          <w:sz w:val="22"/>
        </w:rPr>
        <w:t>RESUMO</w:t>
      </w:r>
    </w:p>
    <w:p w:rsidR="000B5910" w:rsidRPr="008A58E8" w:rsidRDefault="00057F5C">
      <w:pPr>
        <w:spacing w:after="80"/>
        <w:jc w:val="both"/>
        <w:rPr>
          <w:sz w:val="22"/>
        </w:rPr>
      </w:pPr>
      <w:r w:rsidRPr="008A58E8">
        <w:rPr>
          <w:b/>
          <w:color w:val="1A1A1A"/>
          <w:sz w:val="22"/>
        </w:rPr>
        <w:t xml:space="preserve">Introdução: </w:t>
      </w:r>
      <w:r w:rsidRPr="008A58E8">
        <w:rPr>
          <w:color w:val="1A1A1A"/>
          <w:sz w:val="22"/>
        </w:rPr>
        <w:t xml:space="preserve">O Diabetes Mellitus é um importante problema de saúde pública mundial, caracterizado como doença crônica de alta prevalência, progressão contínua e associada a complicações micro e macrovasculares, com impacto significativo na morbimortalidade e qualidade de vida. O registro adequado nos sistemas de informação em saúde é essencial para o acompanhamento dos usuários e organização das ações (WHO, 2016; IDF, 2021). No Brasil, o aumento da doença relaciona-se ao envelhecimento populacional, urbanização e hábitos de vida não saudáveis, como sedentarismo e alimentação inadequada (IDF, 2021; Ministério da Saúde, 2023). </w:t>
      </w:r>
      <w:proofErr w:type="gramStart"/>
      <w:r w:rsidRPr="008A58E8">
        <w:rPr>
          <w:color w:val="1A1A1A"/>
          <w:sz w:val="22"/>
        </w:rPr>
        <w:t>A</w:t>
      </w:r>
      <w:proofErr w:type="gramEnd"/>
      <w:r w:rsidRPr="008A58E8">
        <w:rPr>
          <w:color w:val="1A1A1A"/>
          <w:sz w:val="22"/>
        </w:rPr>
        <w:t xml:space="preserve"> Atenção Primária à Saúde (APS) é responsável pela coordenação do cuidado, acompanhamento longitudinal e ações de promoção e prevenção, sendo a Estratégia Saúde da Família (ESF) o principal modelo desse nível de atenção (Ministério da Saúde, 2013). A qualidade dos registros no e-SUS APS é fundamental para o monitoramento, planejamento e tomada de decisão. Inconsistências ou subnotificações comprometem </w:t>
      </w:r>
      <w:proofErr w:type="gramStart"/>
      <w:r w:rsidRPr="008A58E8">
        <w:rPr>
          <w:color w:val="1A1A1A"/>
          <w:sz w:val="22"/>
        </w:rPr>
        <w:t>a</w:t>
      </w:r>
      <w:proofErr w:type="gramEnd"/>
      <w:r w:rsidRPr="008A58E8">
        <w:rPr>
          <w:color w:val="1A1A1A"/>
          <w:sz w:val="22"/>
        </w:rPr>
        <w:t xml:space="preserve"> identificação de grupos de risco, como pacientes insulinodependentes, prejudicando a gestão do cuidado. </w:t>
      </w:r>
      <w:r w:rsidRPr="008A58E8">
        <w:rPr>
          <w:b/>
          <w:color w:val="1A1A1A"/>
          <w:sz w:val="22"/>
        </w:rPr>
        <w:t xml:space="preserve">Objetivo: </w:t>
      </w:r>
      <w:r w:rsidRPr="008A58E8">
        <w:rPr>
          <w:color w:val="1A1A1A"/>
          <w:sz w:val="22"/>
        </w:rPr>
        <w:t xml:space="preserve">O objetivo do estudo foi analisar o registro de pacientes com Diabetes Mellitus no e-SUS APS em uma unidade de saúde, com ênfase na identificação de subnotificação de insulinodependentes, por meio da comparação entre dados cadastrais e registros assistenciais. </w:t>
      </w:r>
      <w:r w:rsidRPr="008A58E8">
        <w:rPr>
          <w:b/>
          <w:color w:val="1A1A1A"/>
          <w:sz w:val="22"/>
        </w:rPr>
        <w:t xml:space="preserve">Métodos: </w:t>
      </w:r>
      <w:r w:rsidRPr="008A58E8">
        <w:rPr>
          <w:color w:val="1A1A1A"/>
          <w:sz w:val="22"/>
        </w:rPr>
        <w:t xml:space="preserve">Trata-se de estudo transversal, descritivo e retrospectivo, realizado a partir do Prontuário Eletrônico do Cidadão (PEC/e-SUS), utilizando registros de CID e CIAP para identificação de pacientes diabéticos e insulinodependentes, comparados com registros assistenciais da unidade. </w:t>
      </w:r>
      <w:r w:rsidRPr="008A58E8">
        <w:rPr>
          <w:b/>
          <w:color w:val="1A1A1A"/>
          <w:sz w:val="22"/>
        </w:rPr>
        <w:t xml:space="preserve">Resultados: </w:t>
      </w:r>
      <w:r w:rsidRPr="008A58E8">
        <w:rPr>
          <w:color w:val="1A1A1A"/>
          <w:sz w:val="22"/>
        </w:rPr>
        <w:t xml:space="preserve">Foram identificados 950 pacientes com Diabetes Mellitus (7,3% da população), dos quais 60 (6,3%) estavam registrados como insulinodependentes no e-SUS. Entretanto, 112 pacientes eram acompanhados como tal, evidenciando discrepância de 52 usuários e subnotificação de 46,4%. </w:t>
      </w:r>
      <w:r w:rsidRPr="008A58E8">
        <w:rPr>
          <w:b/>
          <w:color w:val="1A1A1A"/>
          <w:sz w:val="22"/>
        </w:rPr>
        <w:t xml:space="preserve">Conclusão: </w:t>
      </w:r>
      <w:r w:rsidRPr="008A58E8">
        <w:rPr>
          <w:color w:val="1A1A1A"/>
          <w:sz w:val="22"/>
        </w:rPr>
        <w:t>Conclui-se que há subnotificação significativa de pacientes insulinodependentes no e-SUS APS, comprometendo a qualidade da informação e a gestão do cuidado. Destaca-se a necessidade de qualificação dos registros e capacitação das equipes, considerando seu impacto no planejamento, financiamento e continuidade do cuidado.</w:t>
      </w:r>
    </w:p>
    <w:p w:rsidR="000B5910" w:rsidRDefault="000B5910">
      <w:pPr>
        <w:pBdr>
          <w:bottom w:val="single" w:sz="4" w:space="2" w:color="808080"/>
        </w:pBdr>
        <w:spacing w:before="16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Universidade Católica de Pelotas</w:t>
      </w:r>
    </w:p>
    <w:p w:rsidR="000B5910" w:rsidRDefault="000B5910">
      <w:pPr>
        <w:sectPr w:rsidR="000B5910">
          <w:headerReference w:type="default" r:id="rId119"/>
          <w:footerReference w:type="default" r:id="rId12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RECLASSIFICAÇÃO DIAGNÓSTICA DE DIABETES EM ADULTA JOVEM TRATADA COMO DM1 E POSTERIOR DESINSULINIZAÇÃO COM CONTROLE METABÓLICO</w:t>
      </w:r>
    </w:p>
    <w:p w:rsidR="000B5910" w:rsidRPr="008A58E8" w:rsidRDefault="00057F5C">
      <w:pPr>
        <w:spacing w:after="40" w:line="252" w:lineRule="auto"/>
        <w:jc w:val="right"/>
        <w:rPr>
          <w:szCs w:val="21"/>
        </w:rPr>
      </w:pPr>
      <w:r w:rsidRPr="008A58E8">
        <w:rPr>
          <w:color w:val="1A1A1A"/>
          <w:szCs w:val="21"/>
        </w:rPr>
        <w:t>Antônio Carlos Arend</w:t>
      </w:r>
      <w:r w:rsidRPr="008A58E8">
        <w:rPr>
          <w:color w:val="1A1A1A"/>
          <w:szCs w:val="21"/>
          <w:vertAlign w:val="superscript"/>
        </w:rPr>
        <w:t>1</w:t>
      </w:r>
      <w:r w:rsidRPr="008A58E8">
        <w:rPr>
          <w:szCs w:val="21"/>
        </w:rPr>
        <w:br/>
      </w:r>
      <w:r w:rsidRPr="008A58E8">
        <w:rPr>
          <w:color w:val="1A1A1A"/>
          <w:szCs w:val="21"/>
        </w:rPr>
        <w:t>Moisés Zanella Perlin</w:t>
      </w:r>
      <w:r w:rsidRPr="008A58E8">
        <w:rPr>
          <w:color w:val="1A1A1A"/>
          <w:szCs w:val="21"/>
          <w:vertAlign w:val="superscript"/>
        </w:rPr>
        <w:t>1</w:t>
      </w:r>
      <w:r w:rsidRPr="008A58E8">
        <w:rPr>
          <w:szCs w:val="21"/>
        </w:rPr>
        <w:br/>
      </w:r>
      <w:r w:rsidRPr="008A58E8">
        <w:rPr>
          <w:color w:val="1A1A1A"/>
          <w:szCs w:val="21"/>
        </w:rPr>
        <w:t>Carla Cristani</w:t>
      </w:r>
      <w:r w:rsidRPr="008A58E8">
        <w:rPr>
          <w:color w:val="1A1A1A"/>
          <w:szCs w:val="21"/>
          <w:vertAlign w:val="superscript"/>
        </w:rPr>
        <w:t>1</w:t>
      </w:r>
      <w:r w:rsidRPr="008A58E8">
        <w:rPr>
          <w:szCs w:val="21"/>
        </w:rPr>
        <w:br/>
      </w:r>
      <w:r w:rsidRPr="008A58E8">
        <w:rPr>
          <w:color w:val="1A1A1A"/>
          <w:szCs w:val="21"/>
        </w:rPr>
        <w:t>Manoela Palandi</w:t>
      </w:r>
      <w:r w:rsidRPr="008A58E8">
        <w:rPr>
          <w:color w:val="1A1A1A"/>
          <w:szCs w:val="21"/>
          <w:vertAlign w:val="superscript"/>
        </w:rPr>
        <w:t>1</w:t>
      </w:r>
      <w:r w:rsidRPr="008A58E8">
        <w:rPr>
          <w:szCs w:val="21"/>
        </w:rPr>
        <w:br/>
      </w:r>
      <w:r w:rsidRPr="008A58E8">
        <w:rPr>
          <w:color w:val="1A1A1A"/>
          <w:szCs w:val="21"/>
        </w:rPr>
        <w:t>Marcos Pasinato Zorzo</w:t>
      </w:r>
      <w:r w:rsidRPr="008A58E8">
        <w:rPr>
          <w:color w:val="1A1A1A"/>
          <w:szCs w:val="21"/>
          <w:vertAlign w:val="superscript"/>
        </w:rPr>
        <w:t>1</w:t>
      </w:r>
    </w:p>
    <w:p w:rsidR="000B5910" w:rsidRDefault="00057F5C">
      <w:pPr>
        <w:spacing w:before="240" w:after="100"/>
      </w:pPr>
      <w:r>
        <w:rPr>
          <w:b/>
          <w:color w:val="1A1A1A"/>
          <w:sz w:val="22"/>
        </w:rPr>
        <w:t>RESUMO</w:t>
      </w:r>
    </w:p>
    <w:p w:rsidR="000B5910" w:rsidRPr="008A58E8" w:rsidRDefault="00057F5C">
      <w:pPr>
        <w:spacing w:after="80"/>
        <w:jc w:val="both"/>
        <w:rPr>
          <w:sz w:val="22"/>
        </w:rPr>
      </w:pPr>
      <w:r w:rsidRPr="008A58E8">
        <w:rPr>
          <w:b/>
          <w:color w:val="1A1A1A"/>
          <w:sz w:val="22"/>
        </w:rPr>
        <w:t>Apresentação do Caso</w:t>
      </w:r>
      <w:r w:rsidRPr="008A58E8">
        <w:rPr>
          <w:color w:val="1A1A1A"/>
          <w:sz w:val="22"/>
        </w:rPr>
        <w:t xml:space="preserve">: Mulher, 27 anos, diagnosticada com diabetes aos 24 anos após poliúria, polidipsia e perda ponderal, iniciando insulinoterapia desde o diagnóstico. Apresentava antecedentes de pré-diabetes e sobrepeso desde </w:t>
      </w:r>
      <w:proofErr w:type="gramStart"/>
      <w:r w:rsidRPr="008A58E8">
        <w:rPr>
          <w:color w:val="1A1A1A"/>
          <w:sz w:val="22"/>
        </w:rPr>
        <w:t>a</w:t>
      </w:r>
      <w:proofErr w:type="gramEnd"/>
      <w:r w:rsidRPr="008A58E8">
        <w:rPr>
          <w:color w:val="1A1A1A"/>
          <w:sz w:val="22"/>
        </w:rPr>
        <w:t xml:space="preserve"> infância. Após período sem seguimento regular, retornou em uso de insulina basal e metformina, com IMC de 29 kg/m² e exames mostrando HbA1c de 7,3%, glicemia de jejum de 156 mg/dL e hipertrigliceridemia. Diante da suspeita de diabetes tipo 2 ou LADA, foram solicitados autoanticorpos pancreáticos e peptídeo-C. A negatividade dos autoanticorpos e peptídeo-C preservado permitiram reclassificação para diabetes tipo 2 e suspensão da insulinoterapia. Foram iniciados antidiabéticos orais, com melhora metabólica e perda ponderal. Após ajustes terapêuticos devido </w:t>
      </w:r>
      <w:proofErr w:type="gramStart"/>
      <w:r w:rsidRPr="008A58E8">
        <w:rPr>
          <w:color w:val="1A1A1A"/>
          <w:sz w:val="22"/>
        </w:rPr>
        <w:t>a</w:t>
      </w:r>
      <w:proofErr w:type="gramEnd"/>
      <w:r w:rsidRPr="008A58E8">
        <w:rPr>
          <w:color w:val="1A1A1A"/>
          <w:sz w:val="22"/>
        </w:rPr>
        <w:t xml:space="preserve"> efeitos adversos, introduziu-se semaglutida oral, com bom controle glicêmico (HbA1c 6,0%) e melhora clínica sem necessidade de insulina. </w:t>
      </w:r>
      <w:r w:rsidRPr="008A58E8">
        <w:rPr>
          <w:b/>
          <w:color w:val="1A1A1A"/>
          <w:sz w:val="22"/>
        </w:rPr>
        <w:t>Discussão:</w:t>
      </w:r>
      <w:r w:rsidRPr="008A58E8">
        <w:rPr>
          <w:color w:val="1A1A1A"/>
          <w:sz w:val="22"/>
        </w:rPr>
        <w:t xml:space="preserve"> O diabetes em adultos jovens pode apresentar diferentes apresentações clínicas, dificultando sua correta classificação. Embora frequentemente seja presumido como diabetes tipo 1 quando há necessidade inicial de insulinoterapia, outras etiologias, como diabetes tipo 2 e LADA, devem ser consideradas. </w:t>
      </w:r>
      <w:proofErr w:type="gramStart"/>
      <w:r w:rsidRPr="008A58E8">
        <w:rPr>
          <w:color w:val="1A1A1A"/>
          <w:sz w:val="22"/>
        </w:rPr>
        <w:t>A</w:t>
      </w:r>
      <w:proofErr w:type="gramEnd"/>
      <w:r w:rsidRPr="008A58E8">
        <w:rPr>
          <w:color w:val="1A1A1A"/>
          <w:sz w:val="22"/>
        </w:rPr>
        <w:t xml:space="preserve"> investigação com autoanticorpos pancreáticos e peptídeo-C foi fundamental para afastar etiologia autoimune e permitir a reclassificação para diabetes tipo 2. O caso também destaca </w:t>
      </w:r>
      <w:proofErr w:type="gramStart"/>
      <w:r w:rsidRPr="008A58E8">
        <w:rPr>
          <w:color w:val="1A1A1A"/>
          <w:sz w:val="22"/>
        </w:rPr>
        <w:t>a</w:t>
      </w:r>
      <w:proofErr w:type="gramEnd"/>
      <w:r w:rsidRPr="008A58E8">
        <w:rPr>
          <w:color w:val="1A1A1A"/>
          <w:sz w:val="22"/>
        </w:rPr>
        <w:t xml:space="preserve"> importância da individualização terapêutica, considerando eficácia e efeitos adversos das medicações, evidenciando o papel dos agonistas de GLP-1 no controle glicêmico e na redução ponderal em pacientes jovens com sobrepeso. </w:t>
      </w:r>
      <w:r w:rsidRPr="008A58E8">
        <w:rPr>
          <w:b/>
          <w:color w:val="1A1A1A"/>
          <w:sz w:val="22"/>
        </w:rPr>
        <w:t>Considerações finais</w:t>
      </w:r>
      <w:r w:rsidRPr="008A58E8">
        <w:rPr>
          <w:color w:val="1A1A1A"/>
          <w:sz w:val="22"/>
        </w:rPr>
        <w:t xml:space="preserve">: O caso ilustra </w:t>
      </w:r>
      <w:proofErr w:type="gramStart"/>
      <w:r w:rsidRPr="008A58E8">
        <w:rPr>
          <w:color w:val="1A1A1A"/>
          <w:sz w:val="22"/>
        </w:rPr>
        <w:t>a</w:t>
      </w:r>
      <w:proofErr w:type="gramEnd"/>
      <w:r w:rsidRPr="008A58E8">
        <w:rPr>
          <w:color w:val="1A1A1A"/>
          <w:sz w:val="22"/>
        </w:rPr>
        <w:t xml:space="preserve"> importância da revisão diagnóstica em adultos jovens rotulados como portadores de diabetes tipo 1 sem confirmação laboratorial. </w:t>
      </w:r>
      <w:proofErr w:type="gramStart"/>
      <w:r w:rsidRPr="008A58E8">
        <w:rPr>
          <w:color w:val="1A1A1A"/>
          <w:sz w:val="22"/>
        </w:rPr>
        <w:t>A</w:t>
      </w:r>
      <w:proofErr w:type="gramEnd"/>
      <w:r w:rsidRPr="008A58E8">
        <w:rPr>
          <w:color w:val="1A1A1A"/>
          <w:sz w:val="22"/>
        </w:rPr>
        <w:t xml:space="preserve"> investigação com autoanticorpos pancreáticos e peptídeo-C permitiu redefinição diagnóstica e desinsulinização segura. Além disso, destaca a necessidade de individualização terapêutica no diabetes tipo 2, considerando eficácia metabólica, perfil de efeitos adversos e impacto no peso corporal, evidenciando o papel dos agonistas de GLP-1 como alternativa eficaz em pacientes jovens com sobrepeso.</w:t>
      </w:r>
    </w:p>
    <w:p w:rsidR="000B5910" w:rsidRDefault="000B5910">
      <w:pPr>
        <w:pBdr>
          <w:bottom w:val="single" w:sz="4" w:space="2" w:color="808080"/>
        </w:pBdr>
        <w:spacing w:before="16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ULBRA</w:t>
      </w:r>
    </w:p>
    <w:p w:rsidR="000B5910" w:rsidRDefault="000B5910">
      <w:pPr>
        <w:sectPr w:rsidR="000B5910">
          <w:headerReference w:type="default" r:id="rId121"/>
          <w:footerReference w:type="default" r:id="rId12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RETINOPATIA DIABÉTICA COMO MARCADOR DE RISCO PARA MORTALIDADE EM PACIENTES COM DIABETES: EVIDÊNCIAS DE UMA COORTE AMBISPECTIVA</w:t>
      </w:r>
    </w:p>
    <w:p w:rsidR="000B5910" w:rsidRPr="008A58E8" w:rsidRDefault="00057F5C">
      <w:pPr>
        <w:spacing w:after="40" w:line="252" w:lineRule="auto"/>
        <w:jc w:val="right"/>
        <w:rPr>
          <w:szCs w:val="21"/>
        </w:rPr>
      </w:pPr>
      <w:r w:rsidRPr="008A58E8">
        <w:rPr>
          <w:color w:val="1A1A1A"/>
          <w:szCs w:val="21"/>
        </w:rPr>
        <w:t>Georgia Martina Chichelero</w:t>
      </w:r>
      <w:r w:rsidRPr="008A58E8">
        <w:rPr>
          <w:color w:val="1A1A1A"/>
          <w:szCs w:val="21"/>
          <w:vertAlign w:val="superscript"/>
        </w:rPr>
        <w:t>1</w:t>
      </w:r>
      <w:r w:rsidRPr="008A58E8">
        <w:rPr>
          <w:szCs w:val="21"/>
        </w:rPr>
        <w:br/>
      </w:r>
      <w:r w:rsidRPr="008A58E8">
        <w:rPr>
          <w:color w:val="1A1A1A"/>
          <w:szCs w:val="21"/>
        </w:rPr>
        <w:t>Leonardo André Swarowsky Loebens</w:t>
      </w:r>
      <w:r w:rsidRPr="008A58E8">
        <w:rPr>
          <w:color w:val="1A1A1A"/>
          <w:szCs w:val="21"/>
          <w:vertAlign w:val="superscript"/>
        </w:rPr>
        <w:t>2</w:t>
      </w:r>
      <w:r w:rsidRPr="008A58E8">
        <w:rPr>
          <w:szCs w:val="21"/>
        </w:rPr>
        <w:br/>
      </w:r>
      <w:r w:rsidRPr="008A58E8">
        <w:rPr>
          <w:color w:val="1A1A1A"/>
          <w:szCs w:val="21"/>
        </w:rPr>
        <w:t>Andrea Auler</w:t>
      </w:r>
      <w:r w:rsidRPr="008A58E8">
        <w:rPr>
          <w:color w:val="1A1A1A"/>
          <w:szCs w:val="21"/>
          <w:vertAlign w:val="superscript"/>
        </w:rPr>
        <w:t>2</w:t>
      </w:r>
      <w:r w:rsidRPr="008A58E8">
        <w:rPr>
          <w:szCs w:val="21"/>
        </w:rPr>
        <w:br/>
      </w:r>
      <w:r w:rsidRPr="008A58E8">
        <w:rPr>
          <w:color w:val="1A1A1A"/>
          <w:szCs w:val="21"/>
        </w:rPr>
        <w:t>Bárbara de Pinho Gonçalves</w:t>
      </w:r>
      <w:r w:rsidRPr="008A58E8">
        <w:rPr>
          <w:color w:val="1A1A1A"/>
          <w:szCs w:val="21"/>
          <w:vertAlign w:val="superscript"/>
        </w:rPr>
        <w:t>2</w:t>
      </w:r>
      <w:r w:rsidRPr="008A58E8">
        <w:rPr>
          <w:szCs w:val="21"/>
        </w:rPr>
        <w:br/>
      </w:r>
      <w:r w:rsidRPr="008A58E8">
        <w:rPr>
          <w:color w:val="1A1A1A"/>
          <w:szCs w:val="21"/>
        </w:rPr>
        <w:t>Beatriz D. Schaan</w:t>
      </w:r>
      <w:r w:rsidRPr="008A58E8">
        <w:rPr>
          <w:color w:val="1A1A1A"/>
          <w:szCs w:val="21"/>
          <w:vertAlign w:val="superscript"/>
        </w:rPr>
        <w:t>3</w:t>
      </w:r>
    </w:p>
    <w:p w:rsidR="000B5910" w:rsidRDefault="00057F5C">
      <w:pPr>
        <w:spacing w:before="200" w:after="100"/>
      </w:pPr>
      <w:r>
        <w:rPr>
          <w:b/>
          <w:color w:val="1A1A1A"/>
          <w:sz w:val="22"/>
          <w:szCs w:val="24"/>
        </w:rPr>
        <w:t>RESUMO</w:t>
      </w:r>
    </w:p>
    <w:p w:rsidR="000B5910" w:rsidRPr="008A58E8" w:rsidRDefault="00057F5C">
      <w:pPr>
        <w:spacing w:after="80" w:line="264" w:lineRule="auto"/>
        <w:jc w:val="both"/>
        <w:rPr>
          <w:sz w:val="22"/>
        </w:rPr>
      </w:pPr>
      <w:r w:rsidRPr="008A58E8">
        <w:rPr>
          <w:b/>
          <w:color w:val="1A1A1A"/>
          <w:sz w:val="22"/>
        </w:rPr>
        <w:t xml:space="preserve">Introdução: </w:t>
      </w:r>
      <w:r w:rsidRPr="008A58E8">
        <w:rPr>
          <w:color w:val="1A1A1A"/>
          <w:sz w:val="22"/>
        </w:rPr>
        <w:t xml:space="preserve">A principal causa de morte em pessoas com diabetes mellitus (DM) é a doença cardiovascular (CV). A presença de retinopatia diabética (RD) pode sinalizar maior risco CV mesmo em indivíduos assintomáticos, de forma que a retinografia pode representar ferramenta adicional na estratificação desse risco. </w:t>
      </w:r>
      <w:r w:rsidRPr="008A58E8">
        <w:rPr>
          <w:b/>
          <w:color w:val="1A1A1A"/>
          <w:sz w:val="22"/>
        </w:rPr>
        <w:t xml:space="preserve">Objetivo: </w:t>
      </w:r>
      <w:r w:rsidRPr="008A58E8">
        <w:rPr>
          <w:color w:val="1A1A1A"/>
          <w:sz w:val="22"/>
        </w:rPr>
        <w:t xml:space="preserve">Avaliar se a presença de RD identificada em retinografias prediz mortalidade geral e CV em pacientes com DM através de estudo de coorte ambispectiva. </w:t>
      </w:r>
      <w:r w:rsidRPr="008A58E8">
        <w:rPr>
          <w:b/>
          <w:color w:val="1A1A1A"/>
          <w:sz w:val="22"/>
        </w:rPr>
        <w:t xml:space="preserve">Métodos: </w:t>
      </w:r>
      <w:r w:rsidRPr="008A58E8">
        <w:rPr>
          <w:color w:val="1A1A1A"/>
          <w:sz w:val="22"/>
        </w:rPr>
        <w:t xml:space="preserve">Foram elegíveis adultos (&gt; 18 anos) com DM de qualquer tipo, não gestantes, em acompanhamento ambulatorial (2019–2021) e submetidos à retinografia para rastreamento de RD. As imagens, armazenadas no prontuário eletrônico, foram laudadas por oftalmologistas. Coletaram-se dados clínicos e presença ou ausência de RD e edema macular na linha de base. Após 4 anos, obtiveram-se informações de mortalidade geral e CV (CID em atestado de óbito) através de prontuário e Sistema de Informação de Mortalidade (Secretaria Estadual de Saúde do Rio Grande do Sul). Variáveis foram descritas por frequências ou média ± desvio padrão. Associações foram avaliadas por regressão de Poisson com variância robusta, estimando-se risco relativo (RR) e IC95% e análise multivariada com ajuste para confundidores. </w:t>
      </w:r>
      <w:r w:rsidRPr="008A58E8">
        <w:rPr>
          <w:b/>
          <w:color w:val="1A1A1A"/>
          <w:sz w:val="22"/>
        </w:rPr>
        <w:t xml:space="preserve">Resultados: </w:t>
      </w:r>
      <w:r w:rsidRPr="008A58E8">
        <w:rPr>
          <w:color w:val="1A1A1A"/>
          <w:sz w:val="22"/>
        </w:rPr>
        <w:t xml:space="preserve">​​Dos 1.006 participantes, 940 foram incluídos, cuja idade média era 55,9 ± 14,5 anos, 562 (59,8%) mulheres, 692 (73,3) tinham DM tipo 2, tempo de DM 16,1 ± 10 anos, 92 (9,8%) tabagistas e 644 (68,5%) tinham hipertensão arterial sistêmica (HAS). O seguimento foi de 4,74 ± 0,83 anos. Dos 894 participantes com retinografias classificáveis, 361 (40,3%) apresentaram algum grau de RD e/ou edema macular. A mortalidade geral foi 21,1% no grupo com RD e 15% no grupo sem RD e/ou edema macular, respectivamente – RR 1,40 (IC 95% 1,06-1,87; p=0,018), enquanto a mortalidade CV foi 6,1% no grupo com RD e 4,5% no grupo sem RD e/ou edema macular – RR 1,35 (IC 95% 0,77-2,38; p=0,286). Após ajuste para idade, tempo de DM, tabagismo, hemoglobina glicada basal e HAS, a presença de RD e/ou edema macular apresentou RR 1,29 (IC 95% 0,96-1,72; p=0,087) para mortalidade geral e RR 1,2 (IC 95% 0,68-2,12; p=0,528) para mortalidade CV. </w:t>
      </w:r>
      <w:r w:rsidRPr="008A58E8">
        <w:rPr>
          <w:b/>
          <w:color w:val="1A1A1A"/>
          <w:sz w:val="22"/>
        </w:rPr>
        <w:t xml:space="preserve">Conclusão: </w:t>
      </w:r>
      <w:r w:rsidRPr="008A58E8">
        <w:rPr>
          <w:color w:val="1A1A1A"/>
          <w:sz w:val="22"/>
        </w:rPr>
        <w:t xml:space="preserve">A RD não é preditora de mortalidade geral ou CV em pessoas com DM. A associação de RD com mortalidade geral ocorreu apenas em análises não ajustadas, indicando que a relação originalmente identificada não era independente de fatores confundidores ou </w:t>
      </w:r>
      <w:proofErr w:type="gramStart"/>
      <w:r w:rsidRPr="008A58E8">
        <w:rPr>
          <w:color w:val="1A1A1A"/>
          <w:sz w:val="22"/>
        </w:rPr>
        <w:t>mediadores.</w:t>
      </w:r>
      <w:r w:rsidRPr="008A58E8">
        <w:rPr>
          <w:b/>
          <w:color w:val="1A1A1A"/>
          <w:sz w:val="22"/>
        </w:rPr>
        <w:t>DISLIPIDEMIA</w:t>
      </w:r>
      <w:proofErr w:type="gramEnd"/>
      <w:r w:rsidRPr="008A58E8">
        <w:rPr>
          <w:b/>
          <w:color w:val="1A1A1A"/>
          <w:sz w:val="22"/>
        </w:rPr>
        <w:t xml:space="preserve"> E ATEROSCLEROSE</w:t>
      </w:r>
    </w:p>
    <w:p w:rsidR="000B5910" w:rsidRDefault="000B5910">
      <w:pPr>
        <w:pBdr>
          <w:bottom w:val="single" w:sz="4" w:space="2" w:color="808080"/>
        </w:pBdr>
        <w:spacing w:before="120" w:after="40"/>
      </w:pPr>
    </w:p>
    <w:p w:rsidR="000B5910" w:rsidRPr="008A58E8" w:rsidRDefault="00057F5C">
      <w:pPr>
        <w:spacing w:after="0" w:line="252" w:lineRule="auto"/>
        <w:rPr>
          <w:sz w:val="16"/>
          <w:szCs w:val="16"/>
        </w:rPr>
      </w:pPr>
      <w:r w:rsidRPr="008A58E8">
        <w:rPr>
          <w:color w:val="595959"/>
          <w:sz w:val="16"/>
          <w:szCs w:val="16"/>
          <w:vertAlign w:val="superscript"/>
        </w:rPr>
        <w:t>1</w:t>
      </w:r>
      <w:r w:rsidRPr="008A58E8">
        <w:rPr>
          <w:color w:val="595959"/>
          <w:sz w:val="16"/>
          <w:szCs w:val="16"/>
        </w:rPr>
        <w:t xml:space="preserve"> Programa de Ciências Médicas: Endocrinologia, Universidade Federal do Rio Grande do Sul, Porto Alegre, Brasil</w:t>
      </w:r>
    </w:p>
    <w:p w:rsidR="000B5910" w:rsidRPr="008A58E8" w:rsidRDefault="00057F5C">
      <w:pPr>
        <w:spacing w:after="0" w:line="252" w:lineRule="auto"/>
        <w:rPr>
          <w:sz w:val="16"/>
          <w:szCs w:val="16"/>
        </w:rPr>
      </w:pPr>
      <w:r w:rsidRPr="008A58E8">
        <w:rPr>
          <w:color w:val="595959"/>
          <w:sz w:val="16"/>
          <w:szCs w:val="16"/>
          <w:vertAlign w:val="superscript"/>
        </w:rPr>
        <w:t>2</w:t>
      </w:r>
      <w:r w:rsidRPr="008A58E8">
        <w:rPr>
          <w:color w:val="595959"/>
          <w:sz w:val="16"/>
          <w:szCs w:val="16"/>
        </w:rPr>
        <w:t xml:space="preserve"> Faculdade de Medicina da Universidade Federal do Rio Grande do Sul, Porto Alegre, Brasil</w:t>
      </w:r>
    </w:p>
    <w:p w:rsidR="000B5910" w:rsidRPr="008A58E8" w:rsidRDefault="00057F5C">
      <w:pPr>
        <w:spacing w:after="0" w:line="252" w:lineRule="auto"/>
        <w:rPr>
          <w:sz w:val="16"/>
          <w:szCs w:val="16"/>
        </w:rPr>
      </w:pPr>
      <w:r w:rsidRPr="008A58E8">
        <w:rPr>
          <w:color w:val="595959"/>
          <w:sz w:val="16"/>
          <w:szCs w:val="16"/>
          <w:vertAlign w:val="superscript"/>
        </w:rPr>
        <w:t>3</w:t>
      </w:r>
      <w:r w:rsidRPr="008A58E8">
        <w:rPr>
          <w:color w:val="595959"/>
          <w:sz w:val="16"/>
          <w:szCs w:val="16"/>
        </w:rPr>
        <w:t xml:space="preserve"> Serviço de Endocrinologia, Hospital de Clínicas de Porto Alegre, Porto Alegre, Brasil</w:t>
      </w:r>
    </w:p>
    <w:p w:rsidR="000B5910" w:rsidRDefault="000B5910">
      <w:pPr>
        <w:sectPr w:rsidR="000B5910">
          <w:headerReference w:type="default" r:id="rId123"/>
          <w:footerReference w:type="default" r:id="rId12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SÉRIE DE CASOS DE VARIANTES DE SIGNIFICADO INCERTO EM ABCA1: DESAFIOS NA INTERPRETAÇÃO GENÉTICA</w:t>
      </w:r>
    </w:p>
    <w:p w:rsidR="000B5910" w:rsidRPr="001D0440" w:rsidRDefault="00057F5C">
      <w:pPr>
        <w:spacing w:after="40" w:line="252" w:lineRule="auto"/>
        <w:jc w:val="right"/>
        <w:rPr>
          <w:szCs w:val="21"/>
        </w:rPr>
      </w:pPr>
      <w:r w:rsidRPr="001D0440">
        <w:rPr>
          <w:color w:val="1A1A1A"/>
          <w:szCs w:val="21"/>
        </w:rPr>
        <w:t>Ana Cecilia de Sousa Prado</w:t>
      </w:r>
      <w:r w:rsidRPr="001D0440">
        <w:rPr>
          <w:color w:val="1A1A1A"/>
          <w:szCs w:val="21"/>
          <w:vertAlign w:val="superscript"/>
        </w:rPr>
        <w:t>1</w:t>
      </w:r>
      <w:r w:rsidRPr="001D0440">
        <w:rPr>
          <w:szCs w:val="21"/>
        </w:rPr>
        <w:br/>
      </w:r>
      <w:r w:rsidRPr="001D0440">
        <w:rPr>
          <w:color w:val="1A1A1A"/>
          <w:szCs w:val="21"/>
        </w:rPr>
        <w:t>Alexandre Hohl PhD, MSc, MD</w:t>
      </w:r>
      <w:r w:rsidRPr="001D0440">
        <w:rPr>
          <w:color w:val="1A1A1A"/>
          <w:szCs w:val="21"/>
          <w:vertAlign w:val="superscript"/>
        </w:rPr>
        <w:t>1</w:t>
      </w:r>
      <w:r w:rsidRPr="001D0440">
        <w:rPr>
          <w:szCs w:val="21"/>
        </w:rPr>
        <w:br/>
      </w:r>
      <w:r w:rsidRPr="001D0440">
        <w:rPr>
          <w:color w:val="1A1A1A"/>
          <w:szCs w:val="21"/>
        </w:rPr>
        <w:t>Marcelo Fernando Ronsoni PhD, MSc, MD</w:t>
      </w:r>
      <w:r w:rsidRPr="001D0440">
        <w:rPr>
          <w:color w:val="1A1A1A"/>
          <w:szCs w:val="21"/>
          <w:vertAlign w:val="superscript"/>
        </w:rPr>
        <w:t>1</w:t>
      </w:r>
      <w:r w:rsidRPr="001D0440">
        <w:rPr>
          <w:szCs w:val="21"/>
        </w:rPr>
        <w:br/>
      </w:r>
      <w:r w:rsidRPr="001D0440">
        <w:rPr>
          <w:color w:val="1A1A1A"/>
          <w:szCs w:val="21"/>
        </w:rPr>
        <w:t>Simone van de Sande-Lee PhD, MD</w:t>
      </w:r>
      <w:r w:rsidRPr="001D0440">
        <w:rPr>
          <w:color w:val="1A1A1A"/>
          <w:szCs w:val="21"/>
          <w:vertAlign w:val="superscript"/>
        </w:rPr>
        <w:t>1</w:t>
      </w:r>
    </w:p>
    <w:p w:rsidR="000B5910" w:rsidRDefault="00057F5C">
      <w:pPr>
        <w:spacing w:before="240" w:after="100"/>
      </w:pPr>
      <w:r>
        <w:rPr>
          <w:b/>
          <w:color w:val="1A1A1A"/>
          <w:sz w:val="22"/>
        </w:rPr>
        <w:t>RESUMO</w:t>
      </w:r>
    </w:p>
    <w:p w:rsidR="000B5910" w:rsidRPr="001D0440" w:rsidRDefault="00057F5C">
      <w:pPr>
        <w:spacing w:after="80"/>
        <w:jc w:val="both"/>
        <w:rPr>
          <w:sz w:val="22"/>
        </w:rPr>
      </w:pPr>
      <w:r w:rsidRPr="001D0440">
        <w:rPr>
          <w:b/>
          <w:color w:val="1A1A1A"/>
          <w:sz w:val="22"/>
        </w:rPr>
        <w:t>Introdução:</w:t>
      </w:r>
      <w:r w:rsidRPr="001D0440">
        <w:rPr>
          <w:color w:val="1A1A1A"/>
          <w:sz w:val="22"/>
        </w:rPr>
        <w:t xml:space="preserve"> O ABCA1 (ATP-binding cassette transporter A1) desempenha papel central no efluxo celular de colesterol e na formação de HDL por meio da interação com </w:t>
      </w:r>
      <w:proofErr w:type="gramStart"/>
      <w:r w:rsidRPr="001D0440">
        <w:rPr>
          <w:color w:val="1A1A1A"/>
          <w:sz w:val="22"/>
        </w:rPr>
        <w:t>a</w:t>
      </w:r>
      <w:proofErr w:type="gramEnd"/>
      <w:r w:rsidRPr="001D0440">
        <w:rPr>
          <w:color w:val="1A1A1A"/>
          <w:sz w:val="22"/>
        </w:rPr>
        <w:t xml:space="preserve"> apolipoproteína A1, constituindo etapa fundamental do transporte reverso de colesterol. Variantes patogênicas bialélicas nesse gene estão associadas à Doença de Tangier, enquanto variantes heterozigóticas podem cursar com hipoalfalipoproteinemia e risco cardiovascular variável. </w:t>
      </w:r>
      <w:proofErr w:type="gramStart"/>
      <w:r w:rsidRPr="001D0440">
        <w:rPr>
          <w:color w:val="1A1A1A"/>
          <w:sz w:val="22"/>
        </w:rPr>
        <w:t>A</w:t>
      </w:r>
      <w:proofErr w:type="gramEnd"/>
      <w:r w:rsidRPr="001D0440">
        <w:rPr>
          <w:color w:val="1A1A1A"/>
          <w:sz w:val="22"/>
        </w:rPr>
        <w:t xml:space="preserve"> identificação de variantes de significado incerto (VUS) representa um desafio relevante na interpretação clínica e na correlação genótipo-fenótipo em distúrbios do metabolismo lipídico. </w:t>
      </w:r>
      <w:r w:rsidRPr="001D0440">
        <w:rPr>
          <w:b/>
          <w:color w:val="1A1A1A"/>
          <w:sz w:val="22"/>
        </w:rPr>
        <w:t>Objetivo:</w:t>
      </w:r>
      <w:r w:rsidRPr="001D0440">
        <w:rPr>
          <w:color w:val="1A1A1A"/>
          <w:sz w:val="22"/>
        </w:rPr>
        <w:t xml:space="preserve"> Descrever uma série de casos de pacientes com VUS no gene ABCA1 identificadas por sequenciamento de nova geração, explorando possíveis correlações genótipo-fenótipo e os desafios na interpretação clínica dessas variantes. </w:t>
      </w:r>
      <w:r w:rsidRPr="001D0440">
        <w:rPr>
          <w:b/>
          <w:color w:val="1A1A1A"/>
          <w:sz w:val="22"/>
        </w:rPr>
        <w:t>Métodos:</w:t>
      </w:r>
      <w:r w:rsidRPr="001D0440">
        <w:rPr>
          <w:color w:val="1A1A1A"/>
          <w:sz w:val="22"/>
        </w:rPr>
        <w:t xml:space="preserve"> Estudo retrospectivo baseado na análise de prontuários de pacientes atendidos no serviço de Endocrinologia e Metabologia do Hospital Universitário Polydoro Ernani de São Thiago, da Universidade Federal de Santa Catarina. Foram coletados dados clínicos, laboratoriais e resultados de testes genéticos previamente realizados. </w:t>
      </w:r>
      <w:proofErr w:type="gramStart"/>
      <w:r w:rsidRPr="001D0440">
        <w:rPr>
          <w:color w:val="1A1A1A"/>
          <w:sz w:val="22"/>
        </w:rPr>
        <w:t>A</w:t>
      </w:r>
      <w:proofErr w:type="gramEnd"/>
      <w:r w:rsidRPr="001D0440">
        <w:rPr>
          <w:color w:val="1A1A1A"/>
          <w:sz w:val="22"/>
        </w:rPr>
        <w:t xml:space="preserve"> análise genômica foi realizada por Sequenciamento de Nova Geração no laboratório Mendelics, a partir de DNA obtido por swab bucal. O painel genético incluiu genes associados a hipertrigliceridemias e pancreatites. As variantes identificadas foram classificadas conforme critérios do American College of Medical Genetics and Genomics (ACMG). </w:t>
      </w:r>
      <w:r w:rsidRPr="001D0440">
        <w:rPr>
          <w:b/>
          <w:color w:val="1A1A1A"/>
          <w:sz w:val="22"/>
        </w:rPr>
        <w:t>Resultados:</w:t>
      </w:r>
      <w:r w:rsidRPr="001D0440">
        <w:rPr>
          <w:color w:val="1A1A1A"/>
          <w:sz w:val="22"/>
        </w:rPr>
        <w:t xml:space="preserve"> Oito pacientes apresentaram VUS no gene ABCA1. Cinco realizaram o exame por suspeita clínica de lipodistrofia, um por hipertrigliceridemia e dois por investigação por genotipagem parental. Um paciente apresentou duas VUS. </w:t>
      </w:r>
      <w:proofErr w:type="gramStart"/>
      <w:r w:rsidRPr="001D0440">
        <w:rPr>
          <w:color w:val="1A1A1A"/>
          <w:sz w:val="22"/>
        </w:rPr>
        <w:t>A</w:t>
      </w:r>
      <w:proofErr w:type="gramEnd"/>
      <w:r w:rsidRPr="001D0440">
        <w:rPr>
          <w:color w:val="1A1A1A"/>
          <w:sz w:val="22"/>
        </w:rPr>
        <w:t xml:space="preserve"> análise dos casos evidenciou heterogeneidade clínica e laboratorial entre os indivíduos, dificultando o estabelecimento de correlação genótipo-fenótipo consistente. As características clínicas, laboratoriais e genéticas individuais estão descritas em tabela. </w:t>
      </w:r>
      <w:r w:rsidRPr="001D0440">
        <w:rPr>
          <w:b/>
          <w:color w:val="1A1A1A"/>
          <w:sz w:val="22"/>
        </w:rPr>
        <w:t>Conclusão:</w:t>
      </w:r>
      <w:r w:rsidRPr="001D0440">
        <w:rPr>
          <w:color w:val="1A1A1A"/>
          <w:sz w:val="22"/>
        </w:rPr>
        <w:t xml:space="preserve"> Variantes de significado incerto em ABCA1 representam um desafio diagnóstico e prognóstico na avaliação de distúrbios metabólicos. A heterogeneidade fenotípica observada ressalta a limitação da interpretação isolada do achado genético. Esses resultados reforçam a necessidade de integração entre genética molecular, caracterização fenotípica detalhada e acompanhamento longitudinal para melhor definição do significado clínico dessas variantes.</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Universidade Federal de Santa Catarina</w:t>
      </w:r>
    </w:p>
    <w:p w:rsidR="000B5910" w:rsidRDefault="000B5910">
      <w:pPr>
        <w:sectPr w:rsidR="000B5910">
          <w:headerReference w:type="default" r:id="rId125"/>
          <w:footerReference w:type="default" r:id="rId12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INFLAMAÇÃO RESIDUAL NA ATEROSCLEROSE: NOVOS ALVOS TERAPÊUTICOS ALÉM DA TERAPIA HIPOLIPEMIANTE</w:t>
      </w:r>
    </w:p>
    <w:p w:rsidR="000B5910" w:rsidRPr="000937F1" w:rsidRDefault="00057F5C">
      <w:pPr>
        <w:spacing w:after="40" w:line="252" w:lineRule="auto"/>
        <w:jc w:val="right"/>
        <w:rPr>
          <w:szCs w:val="21"/>
        </w:rPr>
      </w:pPr>
      <w:r w:rsidRPr="000937F1">
        <w:rPr>
          <w:color w:val="1A1A1A"/>
          <w:szCs w:val="21"/>
        </w:rPr>
        <w:t>Valentina Dall’Agnol Roman</w:t>
      </w:r>
      <w:r w:rsidRPr="000937F1">
        <w:rPr>
          <w:color w:val="1A1A1A"/>
          <w:szCs w:val="21"/>
          <w:vertAlign w:val="superscript"/>
        </w:rPr>
        <w:t>1</w:t>
      </w:r>
      <w:r w:rsidRPr="000937F1">
        <w:rPr>
          <w:szCs w:val="21"/>
        </w:rPr>
        <w:br/>
      </w:r>
      <w:r w:rsidRPr="000937F1">
        <w:rPr>
          <w:color w:val="1A1A1A"/>
          <w:szCs w:val="21"/>
        </w:rPr>
        <w:t>Antônia dos Santos Bobrowski</w:t>
      </w:r>
      <w:r w:rsidRPr="000937F1">
        <w:rPr>
          <w:color w:val="1A1A1A"/>
          <w:szCs w:val="21"/>
          <w:vertAlign w:val="superscript"/>
        </w:rPr>
        <w:t>1</w:t>
      </w:r>
      <w:r w:rsidRPr="000937F1">
        <w:rPr>
          <w:szCs w:val="21"/>
        </w:rPr>
        <w:br/>
      </w:r>
      <w:r w:rsidRPr="000937F1">
        <w:rPr>
          <w:color w:val="1A1A1A"/>
          <w:szCs w:val="21"/>
        </w:rPr>
        <w:t>Mariana Virgílio de Carvalho Castello</w:t>
      </w:r>
      <w:r w:rsidRPr="000937F1">
        <w:rPr>
          <w:color w:val="1A1A1A"/>
          <w:szCs w:val="21"/>
          <w:vertAlign w:val="superscript"/>
        </w:rPr>
        <w:t>1</w:t>
      </w:r>
      <w:r w:rsidRPr="000937F1">
        <w:rPr>
          <w:szCs w:val="21"/>
        </w:rPr>
        <w:br/>
      </w:r>
      <w:r w:rsidRPr="000937F1">
        <w:rPr>
          <w:color w:val="1A1A1A"/>
          <w:szCs w:val="21"/>
        </w:rPr>
        <w:t>Julia Diedrich</w:t>
      </w:r>
      <w:r w:rsidRPr="000937F1">
        <w:rPr>
          <w:color w:val="1A1A1A"/>
          <w:szCs w:val="21"/>
          <w:vertAlign w:val="superscript"/>
        </w:rPr>
        <w:t>1</w:t>
      </w:r>
      <w:r w:rsidRPr="000937F1">
        <w:rPr>
          <w:szCs w:val="21"/>
        </w:rPr>
        <w:br/>
      </w:r>
      <w:r w:rsidRPr="000937F1">
        <w:rPr>
          <w:color w:val="1A1A1A"/>
          <w:szCs w:val="21"/>
        </w:rPr>
        <w:t>Helena Uchôa</w:t>
      </w:r>
      <w:r w:rsidRPr="000937F1">
        <w:rPr>
          <w:color w:val="1A1A1A"/>
          <w:szCs w:val="21"/>
          <w:vertAlign w:val="superscript"/>
        </w:rPr>
        <w:t>1</w:t>
      </w:r>
      <w:r w:rsidRPr="000937F1">
        <w:rPr>
          <w:szCs w:val="21"/>
        </w:rPr>
        <w:br/>
      </w:r>
      <w:r w:rsidRPr="000937F1">
        <w:rPr>
          <w:color w:val="1A1A1A"/>
          <w:szCs w:val="21"/>
        </w:rPr>
        <w:t>Marco Antônio Brugnarotto Galvan</w:t>
      </w:r>
      <w:r w:rsidRPr="000937F1">
        <w:rPr>
          <w:color w:val="1A1A1A"/>
          <w:szCs w:val="21"/>
          <w:vertAlign w:val="superscript"/>
        </w:rPr>
        <w:t>1</w:t>
      </w:r>
      <w:r w:rsidRPr="000937F1">
        <w:rPr>
          <w:szCs w:val="21"/>
        </w:rPr>
        <w:br/>
      </w:r>
      <w:r w:rsidRPr="000937F1">
        <w:rPr>
          <w:color w:val="1A1A1A"/>
          <w:szCs w:val="21"/>
        </w:rPr>
        <w:t>Inácio Kehl</w:t>
      </w:r>
      <w:r w:rsidRPr="000937F1">
        <w:rPr>
          <w:color w:val="1A1A1A"/>
          <w:szCs w:val="21"/>
          <w:vertAlign w:val="superscript"/>
        </w:rPr>
        <w:t>1</w:t>
      </w:r>
      <w:r w:rsidRPr="000937F1">
        <w:rPr>
          <w:szCs w:val="21"/>
        </w:rPr>
        <w:br/>
      </w:r>
      <w:r w:rsidRPr="000937F1">
        <w:rPr>
          <w:color w:val="1A1A1A"/>
          <w:szCs w:val="21"/>
        </w:rPr>
        <w:t>Murilo Gonçalves Braga</w:t>
      </w:r>
      <w:r w:rsidRPr="000937F1">
        <w:rPr>
          <w:color w:val="1A1A1A"/>
          <w:szCs w:val="21"/>
          <w:vertAlign w:val="superscript"/>
        </w:rPr>
        <w:t>1</w:t>
      </w:r>
      <w:r w:rsidRPr="000937F1">
        <w:rPr>
          <w:szCs w:val="21"/>
        </w:rPr>
        <w:br/>
      </w:r>
      <w:r w:rsidRPr="000937F1">
        <w:rPr>
          <w:color w:val="1A1A1A"/>
          <w:szCs w:val="21"/>
        </w:rPr>
        <w:t>Márcio Cruvinel Barbosa de Macêdo</w:t>
      </w:r>
      <w:r w:rsidRPr="000937F1">
        <w:rPr>
          <w:color w:val="1A1A1A"/>
          <w:szCs w:val="21"/>
          <w:vertAlign w:val="superscript"/>
        </w:rPr>
        <w:t>1</w:t>
      </w:r>
      <w:r w:rsidRPr="000937F1">
        <w:rPr>
          <w:szCs w:val="21"/>
        </w:rPr>
        <w:br/>
      </w:r>
      <w:r w:rsidRPr="000937F1">
        <w:rPr>
          <w:color w:val="1A1A1A"/>
          <w:szCs w:val="21"/>
        </w:rPr>
        <w:t>Matheus Coelho Brasco</w:t>
      </w:r>
      <w:r w:rsidRPr="000937F1">
        <w:rPr>
          <w:color w:val="1A1A1A"/>
          <w:szCs w:val="21"/>
          <w:vertAlign w:val="superscript"/>
        </w:rPr>
        <w:t>1</w:t>
      </w:r>
      <w:r w:rsidRPr="000937F1">
        <w:rPr>
          <w:szCs w:val="21"/>
        </w:rPr>
        <w:br/>
      </w:r>
      <w:r w:rsidRPr="000937F1">
        <w:rPr>
          <w:color w:val="1A1A1A"/>
          <w:szCs w:val="21"/>
        </w:rPr>
        <w:t>Nur Abdalla Juma Abdel Hamid</w:t>
      </w:r>
      <w:r w:rsidRPr="000937F1">
        <w:rPr>
          <w:color w:val="1A1A1A"/>
          <w:szCs w:val="21"/>
          <w:vertAlign w:val="superscript"/>
        </w:rPr>
        <w:t>1</w:t>
      </w:r>
      <w:r w:rsidRPr="000937F1">
        <w:rPr>
          <w:szCs w:val="21"/>
        </w:rPr>
        <w:br/>
      </w:r>
      <w:r w:rsidRPr="000937F1">
        <w:rPr>
          <w:color w:val="1A1A1A"/>
          <w:szCs w:val="21"/>
        </w:rPr>
        <w:t>Leonardo Silveira Bastolla</w:t>
      </w:r>
      <w:r w:rsidRPr="000937F1">
        <w:rPr>
          <w:color w:val="1A1A1A"/>
          <w:szCs w:val="21"/>
          <w:vertAlign w:val="superscript"/>
        </w:rPr>
        <w:t>1</w:t>
      </w:r>
    </w:p>
    <w:p w:rsidR="000B5910" w:rsidRDefault="00057F5C">
      <w:pPr>
        <w:spacing w:before="200" w:after="100"/>
      </w:pPr>
      <w:r>
        <w:rPr>
          <w:b/>
          <w:color w:val="1A1A1A"/>
          <w:sz w:val="22"/>
          <w:szCs w:val="24"/>
        </w:rPr>
        <w:t>RESUMO</w:t>
      </w:r>
    </w:p>
    <w:p w:rsidR="000B5910" w:rsidRPr="000937F1" w:rsidRDefault="00057F5C">
      <w:pPr>
        <w:spacing w:after="80" w:line="264" w:lineRule="auto"/>
        <w:jc w:val="both"/>
        <w:rPr>
          <w:sz w:val="22"/>
          <w:szCs w:val="21"/>
        </w:rPr>
      </w:pPr>
      <w:r w:rsidRPr="000937F1">
        <w:rPr>
          <w:b/>
          <w:color w:val="1A1A1A"/>
          <w:sz w:val="22"/>
          <w:szCs w:val="21"/>
        </w:rPr>
        <w:t>Introdução:</w:t>
      </w:r>
      <w:r w:rsidRPr="000937F1">
        <w:rPr>
          <w:color w:val="1A1A1A"/>
          <w:sz w:val="22"/>
          <w:szCs w:val="21"/>
        </w:rPr>
        <w:t xml:space="preserve"> A prevenção cardiovascular transita da abordagem exclusivamente centrada no LDL-colesterol para o reconhecimento da aterosclerose como doença inflamatória crônica. Mesmo com terapia hipolipemiante otimizada, muitos pacientes permanecem sob risco residual pela ativação persistente da imunidade inata. A validação clínica do eixo IL-1β → IL-6 → PCR reforçou o papel causal da inflamação na instabilidade da placa, impulsionando </w:t>
      </w:r>
      <w:proofErr w:type="gramStart"/>
      <w:r w:rsidRPr="000937F1">
        <w:rPr>
          <w:color w:val="1A1A1A"/>
          <w:sz w:val="22"/>
          <w:szCs w:val="21"/>
        </w:rPr>
        <w:t>a</w:t>
      </w:r>
      <w:proofErr w:type="gramEnd"/>
      <w:r w:rsidRPr="000937F1">
        <w:rPr>
          <w:color w:val="1A1A1A"/>
          <w:sz w:val="22"/>
          <w:szCs w:val="21"/>
        </w:rPr>
        <w:t xml:space="preserve"> exploração de terapias imunomoduladoras e de novos alvos intracelulares além do LDL. </w:t>
      </w:r>
      <w:r w:rsidRPr="000937F1">
        <w:rPr>
          <w:b/>
          <w:color w:val="1A1A1A"/>
          <w:sz w:val="22"/>
          <w:szCs w:val="21"/>
        </w:rPr>
        <w:t>Métodos:</w:t>
      </w:r>
      <w:r w:rsidRPr="000937F1">
        <w:rPr>
          <w:color w:val="1A1A1A"/>
          <w:sz w:val="22"/>
          <w:szCs w:val="21"/>
        </w:rPr>
        <w:t xml:space="preserve"> Revisão sistemática da literatura conduzida de acordo com as recomendações do PRISMA Statement, com busca nas bases PubMed, Embase e LILACS, combinando descritores controlados e termos livres relacionados à aterosclerose, inflamação vascular e terapias anti-inflamatórias, utilizando operadores booleanos. Foram incluídos ensaios clínicos, estudos experimentais e revisões publicados nos últimos cinco anos. A seleção foi realizada por triagem de títulos, resumos e textos completos, conforme critérios de elegibilidade previamente definidos. </w:t>
      </w:r>
      <w:r w:rsidRPr="000937F1">
        <w:rPr>
          <w:b/>
          <w:color w:val="1A1A1A"/>
          <w:sz w:val="22"/>
          <w:szCs w:val="21"/>
        </w:rPr>
        <w:t>Resultados</w:t>
      </w:r>
      <w:r w:rsidRPr="000937F1">
        <w:rPr>
          <w:color w:val="1A1A1A"/>
          <w:sz w:val="22"/>
          <w:szCs w:val="21"/>
        </w:rPr>
        <w:t xml:space="preserve">: O eixo IL-1β → IL-6 → PCR é a via mais validada clinicamente para a redução do risco cardiovascular residual. O estudo CANTOS, com canaquinumabe, mostrou que reduzir </w:t>
      </w:r>
      <w:proofErr w:type="gramStart"/>
      <w:r w:rsidRPr="000937F1">
        <w:rPr>
          <w:color w:val="1A1A1A"/>
          <w:sz w:val="22"/>
          <w:szCs w:val="21"/>
        </w:rPr>
        <w:t>a</w:t>
      </w:r>
      <w:proofErr w:type="gramEnd"/>
      <w:r w:rsidRPr="000937F1">
        <w:rPr>
          <w:color w:val="1A1A1A"/>
          <w:sz w:val="22"/>
          <w:szCs w:val="21"/>
        </w:rPr>
        <w:t xml:space="preserve"> inflamação sem alterar o colesterol diminui eventos cardiovasculares. O Ziltivekimabe, em ensaios de Fase 2, mostrou ser promissor na doença renal crônica ao reduzir em 90% os níveis de PCR-us. Ensaios como LoDoCo2 demonstraram que baixas doses de colchicina reduzem significativamente o risco de eventos cardiovasculares maiores, e já se estuda se ela pode reduzir o volume de placas de baixa atenuação. Pesquisas mecanísticas revelaram que </w:t>
      </w:r>
      <w:proofErr w:type="gramStart"/>
      <w:r w:rsidRPr="000937F1">
        <w:rPr>
          <w:color w:val="1A1A1A"/>
          <w:sz w:val="22"/>
          <w:szCs w:val="21"/>
        </w:rPr>
        <w:t>a</w:t>
      </w:r>
      <w:proofErr w:type="gramEnd"/>
      <w:r w:rsidRPr="000937F1">
        <w:rPr>
          <w:color w:val="1A1A1A"/>
          <w:sz w:val="22"/>
          <w:szCs w:val="21"/>
        </w:rPr>
        <w:t xml:space="preserve"> ativação do sinalizador intracelular mTORC1 e a deficiência de mTORC2 promove e acelera, respectivamente, a aterosclerose, podendo a modulação seletiva dessas vias atuar como estratégia futura no controle da hiperinflamação. Os receptores Toll-like e a Cascata do Complemento também contribuem para </w:t>
      </w:r>
      <w:proofErr w:type="gramStart"/>
      <w:r w:rsidRPr="000937F1">
        <w:rPr>
          <w:color w:val="1A1A1A"/>
          <w:sz w:val="22"/>
          <w:szCs w:val="21"/>
        </w:rPr>
        <w:t>a</w:t>
      </w:r>
      <w:proofErr w:type="gramEnd"/>
      <w:r w:rsidRPr="000937F1">
        <w:rPr>
          <w:color w:val="1A1A1A"/>
          <w:sz w:val="22"/>
          <w:szCs w:val="21"/>
        </w:rPr>
        <w:t xml:space="preserve"> instabilidade da placa. </w:t>
      </w:r>
      <w:r w:rsidRPr="000937F1">
        <w:rPr>
          <w:b/>
          <w:color w:val="1A1A1A"/>
          <w:sz w:val="22"/>
          <w:szCs w:val="21"/>
        </w:rPr>
        <w:t>Conclusão:</w:t>
      </w:r>
      <w:r w:rsidRPr="000937F1">
        <w:rPr>
          <w:color w:val="1A1A1A"/>
          <w:sz w:val="22"/>
          <w:szCs w:val="21"/>
        </w:rPr>
        <w:t xml:space="preserve"> O futuro da prevenção cardiovascular reside na transição da abordagem centrada no colesterol para uma terapia imunomoduladora personalizada. </w:t>
      </w:r>
      <w:proofErr w:type="gramStart"/>
      <w:r w:rsidRPr="000937F1">
        <w:rPr>
          <w:color w:val="1A1A1A"/>
          <w:sz w:val="22"/>
          <w:szCs w:val="21"/>
        </w:rPr>
        <w:t>A</w:t>
      </w:r>
      <w:proofErr w:type="gramEnd"/>
      <w:r w:rsidRPr="000937F1">
        <w:rPr>
          <w:color w:val="1A1A1A"/>
          <w:sz w:val="22"/>
          <w:szCs w:val="21"/>
        </w:rPr>
        <w:t xml:space="preserve"> inibição direta da IL-6 e a utilização de anti-inflamatórios como a colchicina, aliadas a uma compreensão profunda das vias de sinalização intracelular, oferecem novas perspectivas para estabilizar as placas coronárias e melhorar os resultados clínicos em doentes de alto risco.</w:t>
      </w:r>
    </w:p>
    <w:p w:rsidR="000B5910" w:rsidRDefault="000B5910">
      <w:pPr>
        <w:pBdr>
          <w:bottom w:val="single" w:sz="4" w:space="2" w:color="808080"/>
        </w:pBdr>
        <w:spacing w:before="120" w:after="40"/>
      </w:pPr>
    </w:p>
    <w:p w:rsidR="000B5910" w:rsidRPr="000937F1" w:rsidRDefault="00057F5C">
      <w:pPr>
        <w:spacing w:after="0" w:line="252" w:lineRule="auto"/>
        <w:rPr>
          <w:sz w:val="16"/>
          <w:szCs w:val="16"/>
        </w:rPr>
      </w:pPr>
      <w:r w:rsidRPr="000937F1">
        <w:rPr>
          <w:color w:val="595959"/>
          <w:sz w:val="16"/>
          <w:szCs w:val="16"/>
          <w:vertAlign w:val="superscript"/>
        </w:rPr>
        <w:t>1</w:t>
      </w:r>
      <w:r w:rsidRPr="000937F1">
        <w:rPr>
          <w:color w:val="595959"/>
          <w:sz w:val="16"/>
          <w:szCs w:val="16"/>
        </w:rPr>
        <w:t xml:space="preserve"> Pontifícia Universidade Católica do Rio Grande do Sul</w:t>
      </w:r>
    </w:p>
    <w:p w:rsidR="000B5910" w:rsidRDefault="000B5910">
      <w:pPr>
        <w:sectPr w:rsidR="000B5910">
          <w:headerReference w:type="default" r:id="rId127"/>
          <w:footerReference w:type="default" r:id="rId12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INFARTO AGUDO DO MIOCÁRDIO PRECOCE E A CARGA DA SÍNDROME METABÓLICA: TENDÊNCIA DE INTERNAÇÕES EM JOVENS NO RS (2020–2025)</w:t>
      </w:r>
    </w:p>
    <w:p w:rsidR="000B5910" w:rsidRPr="000937F1" w:rsidRDefault="00057F5C">
      <w:pPr>
        <w:spacing w:after="40" w:line="252" w:lineRule="auto"/>
        <w:jc w:val="right"/>
        <w:rPr>
          <w:szCs w:val="21"/>
        </w:rPr>
      </w:pPr>
      <w:r w:rsidRPr="000937F1">
        <w:rPr>
          <w:color w:val="1A1A1A"/>
          <w:szCs w:val="21"/>
        </w:rPr>
        <w:t>Vitória Dal Forno Smola</w:t>
      </w:r>
      <w:r w:rsidRPr="000937F1">
        <w:rPr>
          <w:color w:val="1A1A1A"/>
          <w:szCs w:val="21"/>
          <w:vertAlign w:val="superscript"/>
        </w:rPr>
        <w:t>1</w:t>
      </w:r>
      <w:r w:rsidRPr="000937F1">
        <w:rPr>
          <w:szCs w:val="21"/>
        </w:rPr>
        <w:br/>
      </w:r>
      <w:r w:rsidRPr="000937F1">
        <w:rPr>
          <w:color w:val="1A1A1A"/>
          <w:szCs w:val="21"/>
        </w:rPr>
        <w:t>Pyetra Machado Manera</w:t>
      </w:r>
      <w:r w:rsidRPr="000937F1">
        <w:rPr>
          <w:color w:val="1A1A1A"/>
          <w:szCs w:val="21"/>
          <w:vertAlign w:val="superscript"/>
        </w:rPr>
        <w:t>1</w:t>
      </w:r>
      <w:r w:rsidRPr="000937F1">
        <w:rPr>
          <w:szCs w:val="21"/>
        </w:rPr>
        <w:br/>
      </w:r>
      <w:r w:rsidRPr="000937F1">
        <w:rPr>
          <w:color w:val="1A1A1A"/>
          <w:szCs w:val="21"/>
        </w:rPr>
        <w:t>Pollyanna Albuquerque Spido</w:t>
      </w:r>
      <w:r w:rsidRPr="000937F1">
        <w:rPr>
          <w:color w:val="1A1A1A"/>
          <w:szCs w:val="21"/>
          <w:vertAlign w:val="superscript"/>
        </w:rPr>
        <w:t>1</w:t>
      </w:r>
      <w:r w:rsidRPr="000937F1">
        <w:rPr>
          <w:szCs w:val="21"/>
        </w:rPr>
        <w:br/>
      </w:r>
      <w:r w:rsidRPr="000937F1">
        <w:rPr>
          <w:color w:val="1A1A1A"/>
          <w:szCs w:val="21"/>
        </w:rPr>
        <w:t>Nathalya Karoline Silva de Moraes</w:t>
      </w:r>
      <w:r w:rsidRPr="000937F1">
        <w:rPr>
          <w:color w:val="1A1A1A"/>
          <w:szCs w:val="21"/>
          <w:vertAlign w:val="superscript"/>
        </w:rPr>
        <w:t>1</w:t>
      </w:r>
      <w:r w:rsidRPr="000937F1">
        <w:rPr>
          <w:szCs w:val="21"/>
        </w:rPr>
        <w:br/>
      </w:r>
      <w:r w:rsidRPr="000937F1">
        <w:rPr>
          <w:color w:val="1A1A1A"/>
          <w:szCs w:val="21"/>
        </w:rPr>
        <w:t>Alenir Júnior Gauterio de Moraes</w:t>
      </w:r>
      <w:r w:rsidRPr="000937F1">
        <w:rPr>
          <w:color w:val="1A1A1A"/>
          <w:szCs w:val="21"/>
          <w:vertAlign w:val="superscript"/>
        </w:rPr>
        <w:t>1</w:t>
      </w:r>
      <w:r w:rsidRPr="000937F1">
        <w:rPr>
          <w:szCs w:val="21"/>
        </w:rPr>
        <w:br/>
      </w:r>
      <w:r w:rsidRPr="000937F1">
        <w:rPr>
          <w:color w:val="1A1A1A"/>
          <w:szCs w:val="21"/>
        </w:rPr>
        <w:t>Nicoly Stein</w:t>
      </w:r>
      <w:r w:rsidRPr="000937F1">
        <w:rPr>
          <w:color w:val="1A1A1A"/>
          <w:szCs w:val="21"/>
          <w:vertAlign w:val="superscript"/>
        </w:rPr>
        <w:t>1</w:t>
      </w:r>
    </w:p>
    <w:p w:rsidR="000B5910" w:rsidRDefault="00057F5C">
      <w:pPr>
        <w:spacing w:before="240" w:after="100"/>
      </w:pPr>
      <w:r>
        <w:rPr>
          <w:b/>
          <w:color w:val="1A1A1A"/>
          <w:sz w:val="22"/>
        </w:rPr>
        <w:t>RESUMO</w:t>
      </w:r>
    </w:p>
    <w:p w:rsidR="000B5910" w:rsidRPr="000937F1" w:rsidRDefault="00057F5C">
      <w:pPr>
        <w:spacing w:after="80"/>
        <w:jc w:val="both"/>
        <w:rPr>
          <w:sz w:val="22"/>
        </w:rPr>
      </w:pPr>
      <w:r w:rsidRPr="000937F1">
        <w:rPr>
          <w:b/>
          <w:color w:val="1A1A1A"/>
          <w:sz w:val="22"/>
        </w:rPr>
        <w:t xml:space="preserve">Introdução: </w:t>
      </w:r>
      <w:r w:rsidRPr="000937F1">
        <w:rPr>
          <w:color w:val="1A1A1A"/>
          <w:sz w:val="22"/>
        </w:rPr>
        <w:t xml:space="preserve">O Infarto agudo do miocárdio (IAM) em adultos jovens tem se tornado uma preocupação crescente em saúde pública, possivelmente relacionado ao aumento de fatores de risco metabólicos como Obesidade, Síndrome metabólica, Diabetes Mellitus precoce e Dislipidemia. </w:t>
      </w:r>
      <w:proofErr w:type="gramStart"/>
      <w:r w:rsidRPr="000937F1">
        <w:rPr>
          <w:color w:val="1A1A1A"/>
          <w:sz w:val="22"/>
        </w:rPr>
        <w:t>A</w:t>
      </w:r>
      <w:proofErr w:type="gramEnd"/>
      <w:r w:rsidRPr="000937F1">
        <w:rPr>
          <w:color w:val="1A1A1A"/>
          <w:sz w:val="22"/>
        </w:rPr>
        <w:t xml:space="preserve"> análise de tendências temporais nessa população permite compreender a carga emergente das doenças cardiovasculares precoces e seus determinantes metabólicos.</w:t>
      </w:r>
      <w:r w:rsidRPr="000937F1">
        <w:rPr>
          <w:b/>
          <w:color w:val="1A1A1A"/>
          <w:sz w:val="22"/>
        </w:rPr>
        <w:t xml:space="preserve"> Objetivo: </w:t>
      </w:r>
      <w:r w:rsidRPr="000937F1">
        <w:rPr>
          <w:color w:val="1A1A1A"/>
          <w:sz w:val="22"/>
        </w:rPr>
        <w:t>Analisar a tendência temporal das internações por IAM em adultos jovens (20–39 anos) no Rio Grande do Sul entre 2020 e 2025, bem como descrever a mortalidade hospitalar no período.</w:t>
      </w:r>
      <w:r w:rsidRPr="000937F1">
        <w:rPr>
          <w:b/>
          <w:color w:val="1A1A1A"/>
          <w:sz w:val="22"/>
        </w:rPr>
        <w:t xml:space="preserve"> Métodos: </w:t>
      </w:r>
      <w:r w:rsidRPr="000937F1">
        <w:rPr>
          <w:color w:val="1A1A1A"/>
          <w:sz w:val="22"/>
        </w:rPr>
        <w:t xml:space="preserve">Estudo ecológico retrospectivo de série temporal com dados secundários do Sistema de Informações Hospitalares do SUS (SIH/SUS), disponibilizados pelo DATASUS por meio do TABNET. Foram incluídas internações de residentes no Rio Grande do Sul entre 2020 e 2025 com diagnóstico principal de IAM (CID-10: I21), na faixa etária de 20 a 39 anos. As variáveis analisadas foram ano de processamento, número de internações e óbitos hospitalares. A mortalidade hospitalar foi estimada pela razão entre óbitos e internações. </w:t>
      </w:r>
      <w:r w:rsidRPr="000937F1">
        <w:rPr>
          <w:b/>
          <w:color w:val="1A1A1A"/>
          <w:sz w:val="22"/>
        </w:rPr>
        <w:t xml:space="preserve">Resultados: </w:t>
      </w:r>
      <w:r w:rsidRPr="000937F1">
        <w:rPr>
          <w:color w:val="1A1A1A"/>
          <w:sz w:val="22"/>
        </w:rPr>
        <w:t xml:space="preserve">Foram registradas 2.241 internações por IAM em adultos jovens no Rio Grande do Sul entre 2020 e 2025. Observou-se tendência geral de aumento ao longo da série, passando de 322 internações em 2020 para 430 em 2025, correspondendo a crescimento aproximado de 33,5%. Houve elevação progressiva com oscilações intermediárias, destacando-se aumento entre 2021 (369) e 2023 (390), com manutenção de patamar elevado em 2024 (386). No período ocorreram 57 óbitos hospitalares, correspondendo a mortalidade aproximada de 2,5%, com maior número absoluto em 2025 (14 óbitos). </w:t>
      </w:r>
      <w:r w:rsidRPr="000937F1">
        <w:rPr>
          <w:b/>
          <w:color w:val="1A1A1A"/>
          <w:sz w:val="22"/>
        </w:rPr>
        <w:t xml:space="preserve">Conclusão: </w:t>
      </w:r>
      <w:r w:rsidRPr="000937F1">
        <w:rPr>
          <w:color w:val="1A1A1A"/>
          <w:sz w:val="22"/>
        </w:rPr>
        <w:t xml:space="preserve">Verificou-se tendência crescente das internações por IAM em adultos jovens no Rio Grande do Sul, associada a mortalidade hospitalar relevante. Os achados sugerem aumento da carga de doença cardiovascular precoce possivelmente relacionado à maior prevalência de fatores metabólicos. O cenário reforça </w:t>
      </w:r>
      <w:proofErr w:type="gramStart"/>
      <w:r w:rsidRPr="000937F1">
        <w:rPr>
          <w:color w:val="1A1A1A"/>
          <w:sz w:val="22"/>
        </w:rPr>
        <w:t>a</w:t>
      </w:r>
      <w:proofErr w:type="gramEnd"/>
      <w:r w:rsidRPr="000937F1">
        <w:rPr>
          <w:color w:val="1A1A1A"/>
          <w:sz w:val="22"/>
        </w:rPr>
        <w:t xml:space="preserve"> importância de estratégias preventivas voltadas ao controle da síndrome metabólica e à detecção precoce de fatores de risco.</w:t>
      </w:r>
    </w:p>
    <w:p w:rsidR="000B5910" w:rsidRDefault="000B5910">
      <w:pPr>
        <w:pBdr>
          <w:bottom w:val="single" w:sz="4" w:space="2" w:color="808080"/>
        </w:pBdr>
        <w:spacing w:before="160" w:after="40"/>
      </w:pPr>
    </w:p>
    <w:p w:rsidR="000B5910" w:rsidRPr="000937F1" w:rsidRDefault="00057F5C">
      <w:pPr>
        <w:spacing w:after="0" w:line="252" w:lineRule="auto"/>
        <w:rPr>
          <w:sz w:val="16"/>
          <w:szCs w:val="16"/>
        </w:rPr>
      </w:pPr>
      <w:r w:rsidRPr="000937F1">
        <w:rPr>
          <w:color w:val="595959"/>
          <w:sz w:val="16"/>
          <w:szCs w:val="16"/>
          <w:vertAlign w:val="superscript"/>
        </w:rPr>
        <w:t>1</w:t>
      </w:r>
      <w:r w:rsidRPr="000937F1">
        <w:rPr>
          <w:color w:val="595959"/>
          <w:sz w:val="16"/>
          <w:szCs w:val="16"/>
        </w:rPr>
        <w:t xml:space="preserve"> ULBRA</w:t>
      </w:r>
    </w:p>
    <w:p w:rsidR="000B5910" w:rsidRDefault="000B5910">
      <w:pPr>
        <w:sectPr w:rsidR="000B5910">
          <w:headerReference w:type="default" r:id="rId129"/>
          <w:footerReference w:type="default" r:id="rId130"/>
          <w:pgSz w:w="12240" w:h="15840"/>
          <w:pgMar w:top="1417" w:right="1417" w:bottom="1417" w:left="1417" w:header="680" w:footer="680" w:gutter="0"/>
          <w:cols w:space="720"/>
        </w:sectPr>
      </w:pPr>
    </w:p>
    <w:p w:rsidR="000B5910" w:rsidRDefault="00057F5C">
      <w:pPr>
        <w:spacing w:before="80" w:line="252" w:lineRule="auto"/>
        <w:jc w:val="center"/>
        <w:rPr>
          <w:spacing w:val="-17"/>
          <w:sz w:val="22"/>
          <w:szCs w:val="24"/>
        </w:rPr>
      </w:pPr>
      <w:r>
        <w:rPr>
          <w:b/>
          <w:color w:val="1A1A1A"/>
          <w:spacing w:val="-17"/>
          <w:sz w:val="28"/>
          <w:szCs w:val="24"/>
        </w:rPr>
        <w:lastRenderedPageBreak/>
        <w:t>EFEITO SINÉRGICO DO DIABETES E HIPOTIREOIDISMO NA PROGRESSÃO DA ATEROSCLEROSE: REVISÃO SISTEMÁTICA DA LITERATURA</w:t>
      </w:r>
    </w:p>
    <w:p w:rsidR="000B5910" w:rsidRPr="000937F1" w:rsidRDefault="00057F5C">
      <w:pPr>
        <w:spacing w:after="40" w:line="252" w:lineRule="auto"/>
        <w:jc w:val="right"/>
        <w:rPr>
          <w:szCs w:val="21"/>
        </w:rPr>
      </w:pPr>
      <w:r w:rsidRPr="000937F1">
        <w:rPr>
          <w:color w:val="1A1A1A"/>
          <w:szCs w:val="21"/>
        </w:rPr>
        <w:t>Carolina Faccin Da Ros</w:t>
      </w:r>
      <w:r w:rsidRPr="000937F1">
        <w:rPr>
          <w:color w:val="1A1A1A"/>
          <w:szCs w:val="21"/>
          <w:vertAlign w:val="superscript"/>
        </w:rPr>
        <w:t>1</w:t>
      </w:r>
      <w:r w:rsidRPr="000937F1">
        <w:rPr>
          <w:szCs w:val="21"/>
        </w:rPr>
        <w:br/>
      </w:r>
      <w:r w:rsidRPr="000937F1">
        <w:rPr>
          <w:color w:val="1A1A1A"/>
          <w:szCs w:val="21"/>
        </w:rPr>
        <w:t>Maria Carolina Hirsch</w:t>
      </w:r>
      <w:r w:rsidRPr="000937F1">
        <w:rPr>
          <w:color w:val="1A1A1A"/>
          <w:szCs w:val="21"/>
          <w:vertAlign w:val="superscript"/>
        </w:rPr>
        <w:t>1</w:t>
      </w:r>
      <w:r w:rsidRPr="000937F1">
        <w:rPr>
          <w:szCs w:val="21"/>
        </w:rPr>
        <w:br/>
      </w:r>
      <w:r w:rsidRPr="000937F1">
        <w:rPr>
          <w:color w:val="1A1A1A"/>
          <w:szCs w:val="21"/>
        </w:rPr>
        <w:t>Vitor Petry Thiele</w:t>
      </w:r>
      <w:r w:rsidRPr="000937F1">
        <w:rPr>
          <w:color w:val="1A1A1A"/>
          <w:szCs w:val="21"/>
          <w:vertAlign w:val="superscript"/>
        </w:rPr>
        <w:t>1</w:t>
      </w:r>
      <w:r w:rsidRPr="000937F1">
        <w:rPr>
          <w:szCs w:val="21"/>
        </w:rPr>
        <w:br/>
      </w:r>
      <w:r w:rsidRPr="000937F1">
        <w:rPr>
          <w:color w:val="1A1A1A"/>
          <w:szCs w:val="21"/>
        </w:rPr>
        <w:t>Camila Ferreira Overbeck</w:t>
      </w:r>
      <w:r w:rsidRPr="000937F1">
        <w:rPr>
          <w:color w:val="1A1A1A"/>
          <w:szCs w:val="21"/>
          <w:vertAlign w:val="superscript"/>
        </w:rPr>
        <w:t>1</w:t>
      </w:r>
      <w:r w:rsidRPr="000937F1">
        <w:rPr>
          <w:szCs w:val="21"/>
        </w:rPr>
        <w:br/>
      </w:r>
      <w:r w:rsidRPr="000937F1">
        <w:rPr>
          <w:color w:val="1A1A1A"/>
          <w:szCs w:val="21"/>
        </w:rPr>
        <w:t>Antônia Haas Hoppe</w:t>
      </w:r>
      <w:r w:rsidRPr="000937F1">
        <w:rPr>
          <w:color w:val="1A1A1A"/>
          <w:szCs w:val="21"/>
          <w:vertAlign w:val="superscript"/>
        </w:rPr>
        <w:t>1</w:t>
      </w:r>
      <w:r w:rsidRPr="000937F1">
        <w:rPr>
          <w:szCs w:val="21"/>
        </w:rPr>
        <w:br/>
      </w:r>
      <w:r w:rsidRPr="000937F1">
        <w:rPr>
          <w:color w:val="1A1A1A"/>
          <w:szCs w:val="21"/>
        </w:rPr>
        <w:t>Lúcio Marques Leonardi</w:t>
      </w:r>
      <w:r w:rsidRPr="000937F1">
        <w:rPr>
          <w:color w:val="1A1A1A"/>
          <w:szCs w:val="21"/>
          <w:vertAlign w:val="superscript"/>
        </w:rPr>
        <w:t>1</w:t>
      </w:r>
      <w:r w:rsidRPr="000937F1">
        <w:rPr>
          <w:szCs w:val="21"/>
        </w:rPr>
        <w:br/>
      </w:r>
      <w:r w:rsidRPr="000937F1">
        <w:rPr>
          <w:color w:val="1A1A1A"/>
          <w:szCs w:val="21"/>
        </w:rPr>
        <w:t>Isabela Alles</w:t>
      </w:r>
      <w:r w:rsidRPr="000937F1">
        <w:rPr>
          <w:color w:val="1A1A1A"/>
          <w:szCs w:val="21"/>
          <w:vertAlign w:val="superscript"/>
        </w:rPr>
        <w:t>1</w:t>
      </w:r>
      <w:r w:rsidRPr="000937F1">
        <w:rPr>
          <w:szCs w:val="21"/>
        </w:rPr>
        <w:br/>
      </w:r>
      <w:r w:rsidRPr="000937F1">
        <w:rPr>
          <w:color w:val="1A1A1A"/>
          <w:szCs w:val="21"/>
        </w:rPr>
        <w:t>Luiza Haas Jacobus</w:t>
      </w:r>
      <w:r w:rsidRPr="000937F1">
        <w:rPr>
          <w:color w:val="1A1A1A"/>
          <w:szCs w:val="21"/>
          <w:vertAlign w:val="superscript"/>
        </w:rPr>
        <w:t>1</w:t>
      </w:r>
      <w:r w:rsidRPr="000937F1">
        <w:rPr>
          <w:szCs w:val="21"/>
        </w:rPr>
        <w:br/>
      </w:r>
      <w:r w:rsidRPr="000937F1">
        <w:rPr>
          <w:color w:val="1A1A1A"/>
          <w:szCs w:val="21"/>
        </w:rPr>
        <w:t>Murilo Antônio Borba</w:t>
      </w:r>
      <w:r w:rsidRPr="000937F1">
        <w:rPr>
          <w:color w:val="1A1A1A"/>
          <w:szCs w:val="21"/>
          <w:vertAlign w:val="superscript"/>
        </w:rPr>
        <w:t>1</w:t>
      </w:r>
      <w:r w:rsidRPr="000937F1">
        <w:rPr>
          <w:szCs w:val="21"/>
        </w:rPr>
        <w:br/>
      </w:r>
      <w:r w:rsidRPr="000937F1">
        <w:rPr>
          <w:color w:val="1A1A1A"/>
          <w:szCs w:val="21"/>
        </w:rPr>
        <w:t>Paulo Roberto Laste</w:t>
      </w:r>
      <w:r w:rsidRPr="000937F1">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0937F1" w:rsidRDefault="00057F5C">
      <w:pPr>
        <w:spacing w:after="80" w:line="264" w:lineRule="auto"/>
        <w:jc w:val="both"/>
        <w:rPr>
          <w:sz w:val="22"/>
        </w:rPr>
      </w:pPr>
      <w:r w:rsidRPr="000937F1">
        <w:rPr>
          <w:b/>
          <w:color w:val="1A1A1A"/>
          <w:sz w:val="22"/>
        </w:rPr>
        <w:t xml:space="preserve">Introdução: </w:t>
      </w:r>
      <w:r w:rsidRPr="000937F1">
        <w:rPr>
          <w:color w:val="1A1A1A"/>
          <w:sz w:val="22"/>
        </w:rPr>
        <w:t xml:space="preserve">A aterosclerose resulta da interação entre alterações metabólicas e hormonais, destacando-se diabetes mellitus (DM), que afeta cerca de 537 milhões de adultos no mundo, e o hipotireoidismo, condição prevalente e frequentemente subdiagnosticada. O hipotireoidismo associa-se a dislipidemia aterogênica, disfunção endotelial e risco cardiovascular, enquanto o DM promove dano vascular crônico e progressão aterosclerótica. A concomitância dessas condições exerce efeito sinérgico na progressão da aterosclerose, reforçando </w:t>
      </w:r>
      <w:proofErr w:type="gramStart"/>
      <w:r w:rsidRPr="000937F1">
        <w:rPr>
          <w:color w:val="1A1A1A"/>
          <w:sz w:val="22"/>
        </w:rPr>
        <w:t>a</w:t>
      </w:r>
      <w:proofErr w:type="gramEnd"/>
      <w:r w:rsidRPr="000937F1">
        <w:rPr>
          <w:color w:val="1A1A1A"/>
          <w:sz w:val="22"/>
        </w:rPr>
        <w:t xml:space="preserve"> importância da avaliação integrada do risco cardiovascular. </w:t>
      </w:r>
      <w:r w:rsidRPr="000937F1">
        <w:rPr>
          <w:b/>
          <w:color w:val="1A1A1A"/>
          <w:sz w:val="22"/>
        </w:rPr>
        <w:t xml:space="preserve">Objetivo: </w:t>
      </w:r>
      <w:r w:rsidRPr="000937F1">
        <w:rPr>
          <w:color w:val="1A1A1A"/>
          <w:sz w:val="22"/>
        </w:rPr>
        <w:t>Analisar a associação fisiopatológica entre DM e hipotireoidismo na aceleração do processo aterosclerótico.</w:t>
      </w:r>
      <w:r w:rsidRPr="000937F1">
        <w:rPr>
          <w:b/>
          <w:color w:val="1A1A1A"/>
          <w:sz w:val="22"/>
        </w:rPr>
        <w:t xml:space="preserve"> Métodos:</w:t>
      </w:r>
      <w:r w:rsidRPr="000937F1">
        <w:rPr>
          <w:color w:val="1A1A1A"/>
          <w:sz w:val="22"/>
        </w:rPr>
        <w:t xml:space="preserve"> Revisão sistemática da literatura mediante busca de artigos nas bases Pubmed e Scopus, através dos descritores “Atherosclerosis”, “Diabetes Mellitus” e “Hypothyroidism” presentes no DeCS/MeSH, manejados com o operador booleano “AND”. Foram incluídos estudos publicados nos últimos cinco anos, com exclusão de duplicados e de artigos indisponíveis em texto completo, sem restrição de idiomas.</w:t>
      </w:r>
      <w:r w:rsidRPr="000937F1">
        <w:rPr>
          <w:b/>
          <w:color w:val="1A1A1A"/>
          <w:sz w:val="22"/>
        </w:rPr>
        <w:t xml:space="preserve"> Resultados:</w:t>
      </w:r>
      <w:r w:rsidRPr="000937F1">
        <w:rPr>
          <w:color w:val="1A1A1A"/>
          <w:sz w:val="22"/>
        </w:rPr>
        <w:t xml:space="preserve"> Com base nos critérios estabelecidos, 5 artigos, dos 134 encontrados, foram selecionados. No hipotireoidismo, a redução de T3 e o aumento do TSH promovem disfunção diastólica, diminuição da contratilidade, aumento da resistência vascular sistêmica (RVS) e hipertensão diastólica. Mesmo em casos subclínicos, observam-se alterações metabólicas como elevação de colesterol total, triglicerídeos, LDL-C e glicemia periférica, além de redução do HDL-C. O DM tipo 2 contribui adicionalmente para rigidez arterial, disfunção endotelial e inflamação vascular, intensificando a fibrose e o remodelamento ventricular. Níveis elevados de TSH em diabéticos correlacionam-se com calcificação coronariana significativa, sugerindo efeito sinérgico entre as condições. No manejo terapêutico, a levotiroxina atua melhorando a função ventricular, perfis lipídicos e RVS, enquanto os inibidores de SGLT2 e agonistas de GLP-1 reduzem a fibrose e inflamação vascular. A triagem sistemática da função tireoidiana, especialmente em diabéticos, permite intervenção precoce, diminuindo o risco da progressão aterosclerosótica. </w:t>
      </w:r>
      <w:r w:rsidRPr="000937F1">
        <w:rPr>
          <w:b/>
          <w:color w:val="1A1A1A"/>
          <w:sz w:val="22"/>
        </w:rPr>
        <w:t>Conclusão</w:t>
      </w:r>
      <w:r w:rsidRPr="000937F1">
        <w:rPr>
          <w:color w:val="1A1A1A"/>
          <w:sz w:val="22"/>
        </w:rPr>
        <w:t>: O DM e o hipotireoidismo constituem distúrbios que promovem dano endotelial e, quando somados, intensificam o processo aterosclerótico. Desse modo, torna-se imprescindível o manejo eficaz dessas afecções para ampliar a proteção cardiovascular dos pacientes.</w:t>
      </w:r>
      <w:r w:rsidRPr="000937F1">
        <w:rPr>
          <w:b/>
          <w:color w:val="1A1A1A"/>
          <w:sz w:val="22"/>
          <w:lang w:val="pt-BR"/>
        </w:rPr>
        <w:t xml:space="preserve"> </w:t>
      </w:r>
      <w:r w:rsidRPr="000937F1">
        <w:rPr>
          <w:b/>
          <w:color w:val="1A1A1A"/>
          <w:sz w:val="22"/>
        </w:rPr>
        <w:t xml:space="preserve">ENDOCRINOLOGIA BÁSICA </w:t>
      </w:r>
    </w:p>
    <w:p w:rsidR="000B5910" w:rsidRDefault="000B5910">
      <w:pPr>
        <w:pBdr>
          <w:bottom w:val="single" w:sz="4" w:space="2" w:color="808080"/>
        </w:pBdr>
        <w:spacing w:before="120" w:after="40"/>
      </w:pPr>
    </w:p>
    <w:p w:rsidR="000B5910" w:rsidRPr="000937F1" w:rsidRDefault="00057F5C">
      <w:pPr>
        <w:spacing w:after="0" w:line="252" w:lineRule="auto"/>
        <w:rPr>
          <w:sz w:val="16"/>
          <w:szCs w:val="16"/>
        </w:rPr>
      </w:pPr>
      <w:r w:rsidRPr="000937F1">
        <w:rPr>
          <w:color w:val="595959"/>
          <w:sz w:val="16"/>
          <w:szCs w:val="16"/>
          <w:vertAlign w:val="superscript"/>
        </w:rPr>
        <w:t>1</w:t>
      </w:r>
      <w:r w:rsidRPr="000937F1">
        <w:rPr>
          <w:color w:val="595959"/>
          <w:sz w:val="16"/>
          <w:szCs w:val="16"/>
        </w:rPr>
        <w:t xml:space="preserve"> Universidade de Santa Cruz do Sul (UNISC</w:t>
      </w:r>
      <w:r w:rsidR="000937F1" w:rsidRPr="000937F1">
        <w:rPr>
          <w:color w:val="595959"/>
          <w:sz w:val="16"/>
          <w:szCs w:val="16"/>
        </w:rPr>
        <w:t>)</w:t>
      </w:r>
    </w:p>
    <w:p w:rsidR="000B5910" w:rsidRDefault="000B5910">
      <w:pPr>
        <w:sectPr w:rsidR="000B5910">
          <w:headerReference w:type="default" r:id="rId131"/>
          <w:footerReference w:type="default" r:id="rId13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ASSOCIAÇÃO ENTRE CORTISOL SALIVAR E QUALIDADE DO SONO EM INDIVÍDUOS COM DISFUNÇÃO TEMPOROMANDIBULAR: ESTUDO TRANSVERSAL CASO-CONTROLE</w:t>
      </w:r>
    </w:p>
    <w:p w:rsidR="000B5910" w:rsidRPr="000937F1" w:rsidRDefault="00057F5C">
      <w:pPr>
        <w:spacing w:after="40" w:line="252" w:lineRule="auto"/>
        <w:jc w:val="right"/>
        <w:rPr>
          <w:szCs w:val="21"/>
        </w:rPr>
      </w:pPr>
      <w:r w:rsidRPr="000937F1">
        <w:rPr>
          <w:color w:val="1A1A1A"/>
          <w:szCs w:val="21"/>
        </w:rPr>
        <w:t>Laís Coan Fontanela</w:t>
      </w:r>
      <w:r w:rsidRPr="000937F1">
        <w:rPr>
          <w:color w:val="1A1A1A"/>
          <w:szCs w:val="21"/>
          <w:vertAlign w:val="superscript"/>
        </w:rPr>
        <w:t>1</w:t>
      </w:r>
      <w:r w:rsidRPr="000937F1">
        <w:rPr>
          <w:szCs w:val="21"/>
        </w:rPr>
        <w:br/>
      </w:r>
      <w:r w:rsidRPr="000937F1">
        <w:rPr>
          <w:color w:val="1A1A1A"/>
          <w:szCs w:val="21"/>
        </w:rPr>
        <w:t>Rafael Tardin Rosa Ferraz Gonçalves</w:t>
      </w:r>
      <w:r w:rsidRPr="000937F1">
        <w:rPr>
          <w:color w:val="1A1A1A"/>
          <w:szCs w:val="21"/>
          <w:vertAlign w:val="superscript"/>
        </w:rPr>
        <w:t>2</w:t>
      </w:r>
      <w:r w:rsidRPr="000937F1">
        <w:rPr>
          <w:szCs w:val="21"/>
        </w:rPr>
        <w:br/>
      </w:r>
      <w:r w:rsidRPr="000937F1">
        <w:rPr>
          <w:color w:val="1A1A1A"/>
          <w:szCs w:val="21"/>
        </w:rPr>
        <w:t>Indianara Alves</w:t>
      </w:r>
      <w:r w:rsidRPr="000937F1">
        <w:rPr>
          <w:color w:val="1A1A1A"/>
          <w:szCs w:val="21"/>
          <w:vertAlign w:val="superscript"/>
        </w:rPr>
        <w:t>3</w:t>
      </w:r>
      <w:r w:rsidRPr="000937F1">
        <w:rPr>
          <w:szCs w:val="21"/>
        </w:rPr>
        <w:br/>
      </w:r>
      <w:r w:rsidRPr="000937F1">
        <w:rPr>
          <w:color w:val="1A1A1A"/>
          <w:szCs w:val="21"/>
        </w:rPr>
        <w:t>Tatiana Ferreira Foscaldo</w:t>
      </w:r>
      <w:r w:rsidRPr="000937F1">
        <w:rPr>
          <w:color w:val="1A1A1A"/>
          <w:szCs w:val="21"/>
          <w:vertAlign w:val="superscript"/>
        </w:rPr>
        <w:t>2</w:t>
      </w:r>
      <w:r w:rsidRPr="000937F1">
        <w:rPr>
          <w:szCs w:val="21"/>
        </w:rPr>
        <w:br/>
      </w:r>
      <w:r w:rsidRPr="000937F1">
        <w:rPr>
          <w:color w:val="1A1A1A"/>
          <w:szCs w:val="21"/>
        </w:rPr>
        <w:t>Anderson Kikuchi</w:t>
      </w:r>
      <w:r w:rsidRPr="000937F1">
        <w:rPr>
          <w:color w:val="1A1A1A"/>
          <w:szCs w:val="21"/>
          <w:vertAlign w:val="superscript"/>
        </w:rPr>
        <w:t>2</w:t>
      </w:r>
      <w:r w:rsidRPr="000937F1">
        <w:rPr>
          <w:szCs w:val="21"/>
        </w:rPr>
        <w:br/>
      </w:r>
      <w:r w:rsidRPr="000937F1">
        <w:rPr>
          <w:color w:val="1A1A1A"/>
          <w:szCs w:val="21"/>
        </w:rPr>
        <w:t>George Schayer Sabino</w:t>
      </w:r>
      <w:r w:rsidRPr="000937F1">
        <w:rPr>
          <w:color w:val="1A1A1A"/>
          <w:szCs w:val="21"/>
          <w:vertAlign w:val="superscript"/>
        </w:rPr>
        <w:t>2</w:t>
      </w:r>
      <w:r w:rsidRPr="000937F1">
        <w:rPr>
          <w:szCs w:val="21"/>
        </w:rPr>
        <w:br/>
      </w:r>
      <w:r w:rsidRPr="000937F1">
        <w:rPr>
          <w:color w:val="1A1A1A"/>
          <w:szCs w:val="21"/>
        </w:rPr>
        <w:t>Erica Martins Pereira</w:t>
      </w:r>
      <w:r w:rsidRPr="000937F1">
        <w:rPr>
          <w:color w:val="1A1A1A"/>
          <w:szCs w:val="21"/>
          <w:vertAlign w:val="superscript"/>
        </w:rPr>
        <w:t>2</w:t>
      </w:r>
      <w:r w:rsidRPr="000937F1">
        <w:rPr>
          <w:szCs w:val="21"/>
        </w:rPr>
        <w:br/>
      </w:r>
      <w:r w:rsidRPr="000937F1">
        <w:rPr>
          <w:color w:val="1A1A1A"/>
          <w:szCs w:val="21"/>
        </w:rPr>
        <w:t>Leilane Proença Samaary</w:t>
      </w:r>
      <w:r w:rsidRPr="000937F1">
        <w:rPr>
          <w:color w:val="1A1A1A"/>
          <w:szCs w:val="21"/>
          <w:vertAlign w:val="superscript"/>
        </w:rPr>
        <w:t>2</w:t>
      </w:r>
      <w:r w:rsidRPr="000937F1">
        <w:rPr>
          <w:szCs w:val="21"/>
        </w:rPr>
        <w:br/>
      </w:r>
      <w:r w:rsidRPr="000937F1">
        <w:rPr>
          <w:color w:val="1A1A1A"/>
          <w:szCs w:val="21"/>
        </w:rPr>
        <w:t>Alessandra Hubner De Souza</w:t>
      </w:r>
      <w:r w:rsidRPr="000937F1">
        <w:rPr>
          <w:color w:val="1A1A1A"/>
          <w:szCs w:val="21"/>
          <w:vertAlign w:val="superscript"/>
        </w:rPr>
        <w:t>3</w:t>
      </w:r>
    </w:p>
    <w:p w:rsidR="000B5910" w:rsidRDefault="00057F5C">
      <w:pPr>
        <w:spacing w:before="200" w:after="100"/>
        <w:rPr>
          <w:sz w:val="22"/>
        </w:rPr>
      </w:pPr>
      <w:r>
        <w:rPr>
          <w:b/>
          <w:color w:val="1A1A1A"/>
          <w:sz w:val="22"/>
        </w:rPr>
        <w:t>RESUMO</w:t>
      </w:r>
    </w:p>
    <w:p w:rsidR="000B5910" w:rsidRPr="000937F1" w:rsidRDefault="00057F5C">
      <w:pPr>
        <w:spacing w:after="80" w:line="264" w:lineRule="auto"/>
        <w:jc w:val="both"/>
        <w:rPr>
          <w:sz w:val="22"/>
        </w:rPr>
      </w:pPr>
      <w:r w:rsidRPr="000937F1">
        <w:rPr>
          <w:b/>
          <w:color w:val="1A1A1A"/>
          <w:sz w:val="22"/>
        </w:rPr>
        <w:t>Introdução:</w:t>
      </w:r>
      <w:r w:rsidRPr="000937F1">
        <w:rPr>
          <w:color w:val="1A1A1A"/>
          <w:sz w:val="22"/>
        </w:rPr>
        <w:t xml:space="preserve"> A Disfunção Temporomandibular (DTM) configura-se como uma condição musculoesquelética complexa que acomete </w:t>
      </w:r>
      <w:proofErr w:type="gramStart"/>
      <w:r w:rsidRPr="000937F1">
        <w:rPr>
          <w:color w:val="1A1A1A"/>
          <w:sz w:val="22"/>
        </w:rPr>
        <w:t>a</w:t>
      </w:r>
      <w:proofErr w:type="gramEnd"/>
      <w:r w:rsidRPr="000937F1">
        <w:rPr>
          <w:color w:val="1A1A1A"/>
          <w:sz w:val="22"/>
        </w:rPr>
        <w:t xml:space="preserve"> articulação temporomandibular, os músculos mastigatórios e estruturas associadas. Evidências acumuladas indicam que distúrbios do sono e alterações na regulação do eixo hipotálamo-hipófise-adrenal (HHA), expressas por variações nos níveis de cortisol salivar, podem estar implicados na gênese e na perpetuação da DTM. </w:t>
      </w:r>
      <w:r w:rsidRPr="000937F1">
        <w:rPr>
          <w:b/>
          <w:color w:val="1A1A1A"/>
          <w:sz w:val="22"/>
        </w:rPr>
        <w:t>Objetivo:</w:t>
      </w:r>
      <w:r w:rsidRPr="000937F1">
        <w:rPr>
          <w:color w:val="1A1A1A"/>
          <w:sz w:val="22"/>
        </w:rPr>
        <w:t xml:space="preserve"> Este estudo teve como objetivo investigar </w:t>
      </w:r>
      <w:proofErr w:type="gramStart"/>
      <w:r w:rsidRPr="000937F1">
        <w:rPr>
          <w:color w:val="1A1A1A"/>
          <w:sz w:val="22"/>
        </w:rPr>
        <w:t>a</w:t>
      </w:r>
      <w:proofErr w:type="gramEnd"/>
      <w:r w:rsidRPr="000937F1">
        <w:rPr>
          <w:color w:val="1A1A1A"/>
          <w:sz w:val="22"/>
        </w:rPr>
        <w:t xml:space="preserve"> associação entre níveis de cortisol salivar e qualidade do sono em adultos com diagnóstico de DTM, em comparação com indivíduos saudáveis.</w:t>
      </w:r>
      <w:r w:rsidRPr="000937F1">
        <w:rPr>
          <w:b/>
          <w:color w:val="1A1A1A"/>
          <w:sz w:val="22"/>
        </w:rPr>
        <w:t xml:space="preserve"> Métodos: </w:t>
      </w:r>
      <w:r w:rsidRPr="000937F1">
        <w:rPr>
          <w:color w:val="1A1A1A"/>
          <w:sz w:val="22"/>
        </w:rPr>
        <w:t xml:space="preserve">Trata-se de um estudo observacional do tipo caso-controle conduzido com 54 participantes adultos recrutados no ambulatório do Instituto Kikuchi, em Castanhal-PA, entre os meses de março de 2024 e janeiro de 2025. </w:t>
      </w:r>
      <w:proofErr w:type="gramStart"/>
      <w:r w:rsidRPr="000937F1">
        <w:rPr>
          <w:color w:val="1A1A1A"/>
          <w:sz w:val="22"/>
        </w:rPr>
        <w:t>A</w:t>
      </w:r>
      <w:proofErr w:type="gramEnd"/>
      <w:r w:rsidRPr="000937F1">
        <w:rPr>
          <w:color w:val="1A1A1A"/>
          <w:sz w:val="22"/>
        </w:rPr>
        <w:t xml:space="preserve"> amostra foi composta por 30 pacientes com DTM, diagnosticados segundo os critérios do DC/TMD (Diagnostic Criteria for Temporomandibular Disorders), e 24 indivíduos sem DTM, constituindo o grupo controle. A qualidade do sono foi mensurada por meio do Índice de Qualidade do Sono de Pittsburgh (PSQI) e da Escala de Sonolência de Epworth (ESS). Os níveis matinais de cortisol salivar foram obtidos por coleta passiva com dispositivo Salivette e analisados por ELISA competitivo. Os dados foram submetidos à análise estatística com nível de significância de 5% e utilizados exato de Fisher. </w:t>
      </w:r>
      <w:r w:rsidRPr="000937F1">
        <w:rPr>
          <w:b/>
          <w:color w:val="1A1A1A"/>
          <w:sz w:val="22"/>
        </w:rPr>
        <w:t>Resultados:</w:t>
      </w:r>
      <w:r w:rsidRPr="000937F1">
        <w:rPr>
          <w:color w:val="1A1A1A"/>
          <w:sz w:val="22"/>
        </w:rPr>
        <w:t xml:space="preserve"> Os resultados demonstraram que os indivíduos com DTM apresentaram piores indicadores qualidade de sono inferior (p = 0,012), além disso esse grupo apresentou níveis significativamente mais elevados de cortisol salivar (média: 4,48 ng/mL; DP: 0,69) em comparação ao grupo controle (média: 3,29 ng/mL; DP: 0,61; p &lt; 0,001), com tamanho de efeito elevado (d de Cohen = 1,83). Na amostra total, foram observadas correlações negativas entre os níveis de cortisol e qualidade do sono (ρ = -0,30; p = 0,037), sugerindo um possível padrão de disfunção neuroendócrina compatível com hipocortisolismo funcional. </w:t>
      </w:r>
      <w:r w:rsidRPr="000937F1">
        <w:rPr>
          <w:b/>
          <w:color w:val="1A1A1A"/>
          <w:sz w:val="22"/>
        </w:rPr>
        <w:t>Conclusão:</w:t>
      </w:r>
      <w:r w:rsidRPr="000937F1">
        <w:rPr>
          <w:color w:val="1A1A1A"/>
          <w:sz w:val="22"/>
        </w:rPr>
        <w:t xml:space="preserve"> A DTM pode estar associada a distúrbios do sono e alterações no eixo HHA, reforçando a relevância de abordagens diagnósticas e terapêuticas personalizadas. </w:t>
      </w:r>
    </w:p>
    <w:p w:rsidR="000B5910" w:rsidRDefault="000B5910">
      <w:pPr>
        <w:pBdr>
          <w:bottom w:val="single" w:sz="4" w:space="2" w:color="808080"/>
        </w:pBdr>
        <w:spacing w:before="120" w:after="40"/>
      </w:pPr>
    </w:p>
    <w:p w:rsidR="000B5910" w:rsidRPr="00593855" w:rsidRDefault="00057F5C">
      <w:pPr>
        <w:spacing w:after="0" w:line="252" w:lineRule="auto"/>
        <w:rPr>
          <w:sz w:val="16"/>
          <w:szCs w:val="16"/>
        </w:rPr>
      </w:pPr>
      <w:r w:rsidRPr="00593855">
        <w:rPr>
          <w:color w:val="595959"/>
          <w:sz w:val="16"/>
          <w:szCs w:val="16"/>
          <w:vertAlign w:val="superscript"/>
        </w:rPr>
        <w:t>1</w:t>
      </w:r>
      <w:r w:rsidRPr="00593855">
        <w:rPr>
          <w:color w:val="595959"/>
          <w:sz w:val="16"/>
          <w:szCs w:val="16"/>
        </w:rPr>
        <w:t xml:space="preserve"> Universidade Luterana No Brasil, Ulbra</w:t>
      </w:r>
    </w:p>
    <w:p w:rsidR="000B5910" w:rsidRPr="00593855" w:rsidRDefault="00057F5C">
      <w:pPr>
        <w:spacing w:after="0" w:line="252" w:lineRule="auto"/>
        <w:rPr>
          <w:sz w:val="16"/>
          <w:szCs w:val="16"/>
        </w:rPr>
      </w:pPr>
      <w:r w:rsidRPr="00593855">
        <w:rPr>
          <w:color w:val="595959"/>
          <w:sz w:val="16"/>
          <w:szCs w:val="16"/>
          <w:vertAlign w:val="superscript"/>
        </w:rPr>
        <w:t>2</w:t>
      </w:r>
      <w:r w:rsidRPr="00593855">
        <w:rPr>
          <w:color w:val="595959"/>
          <w:sz w:val="16"/>
          <w:szCs w:val="16"/>
        </w:rPr>
        <w:t xml:space="preserve"> Faculdade De Ciências Médicas De Minas Gerais</w:t>
      </w:r>
    </w:p>
    <w:p w:rsidR="000B5910" w:rsidRPr="00593855" w:rsidRDefault="00057F5C">
      <w:pPr>
        <w:spacing w:after="0" w:line="252" w:lineRule="auto"/>
        <w:rPr>
          <w:sz w:val="16"/>
          <w:szCs w:val="16"/>
        </w:rPr>
      </w:pPr>
      <w:r w:rsidRPr="00593855">
        <w:rPr>
          <w:color w:val="595959"/>
          <w:sz w:val="16"/>
          <w:szCs w:val="16"/>
          <w:vertAlign w:val="superscript"/>
        </w:rPr>
        <w:t>3</w:t>
      </w:r>
      <w:r w:rsidRPr="00593855">
        <w:rPr>
          <w:color w:val="595959"/>
          <w:sz w:val="16"/>
          <w:szCs w:val="16"/>
        </w:rPr>
        <w:t xml:space="preserve"> Universidade Luterana Do Brasil</w:t>
      </w:r>
    </w:p>
    <w:p w:rsidR="000B5910" w:rsidRDefault="000B5910">
      <w:pPr>
        <w:sectPr w:rsidR="000B5910">
          <w:headerReference w:type="default" r:id="rId133"/>
          <w:footerReference w:type="default" r:id="rId13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TIRZEPATIDA VERSUS SEMAGLUTIDA NO TRATAMENTO DA OBESIDADE EM ADULTOS: UMA REVISÃO SISTEMÁTICA SOBRE EFICÁCIA E SEGURANÇA</w:t>
      </w:r>
    </w:p>
    <w:p w:rsidR="000B5910" w:rsidRDefault="00057F5C">
      <w:pPr>
        <w:spacing w:after="40" w:line="252" w:lineRule="auto"/>
        <w:jc w:val="right"/>
        <w:rPr>
          <w:sz w:val="20"/>
          <w:szCs w:val="20"/>
        </w:rPr>
      </w:pPr>
      <w:r>
        <w:rPr>
          <w:color w:val="1A1A1A"/>
          <w:sz w:val="20"/>
          <w:szCs w:val="20"/>
        </w:rPr>
        <w:t>Luiza Haas Jacobus</w:t>
      </w:r>
      <w:r>
        <w:rPr>
          <w:color w:val="1A1A1A"/>
          <w:sz w:val="20"/>
          <w:szCs w:val="20"/>
          <w:vertAlign w:val="superscript"/>
        </w:rPr>
        <w:t>1</w:t>
      </w:r>
      <w:r>
        <w:rPr>
          <w:sz w:val="20"/>
          <w:szCs w:val="20"/>
        </w:rPr>
        <w:br/>
      </w:r>
      <w:r>
        <w:rPr>
          <w:color w:val="1A1A1A"/>
          <w:sz w:val="20"/>
          <w:szCs w:val="20"/>
        </w:rPr>
        <w:t>Isabela Alles</w:t>
      </w:r>
      <w:r>
        <w:rPr>
          <w:color w:val="1A1A1A"/>
          <w:sz w:val="20"/>
          <w:szCs w:val="20"/>
          <w:vertAlign w:val="superscript"/>
        </w:rPr>
        <w:t>1</w:t>
      </w:r>
      <w:r>
        <w:rPr>
          <w:sz w:val="20"/>
          <w:szCs w:val="20"/>
        </w:rPr>
        <w:br/>
      </w:r>
      <w:r>
        <w:rPr>
          <w:color w:val="1A1A1A"/>
          <w:sz w:val="20"/>
          <w:szCs w:val="20"/>
        </w:rPr>
        <w:t>Lúcio Marques Leonardi</w:t>
      </w:r>
      <w:r>
        <w:rPr>
          <w:color w:val="1A1A1A"/>
          <w:sz w:val="20"/>
          <w:szCs w:val="20"/>
          <w:vertAlign w:val="superscript"/>
        </w:rPr>
        <w:t>1</w:t>
      </w:r>
      <w:r>
        <w:rPr>
          <w:sz w:val="20"/>
          <w:szCs w:val="20"/>
        </w:rPr>
        <w:br/>
      </w:r>
      <w:r>
        <w:rPr>
          <w:color w:val="1A1A1A"/>
          <w:sz w:val="20"/>
          <w:szCs w:val="20"/>
        </w:rPr>
        <w:t>Antônia Haas Hoppe</w:t>
      </w:r>
      <w:r>
        <w:rPr>
          <w:color w:val="1A1A1A"/>
          <w:sz w:val="20"/>
          <w:szCs w:val="20"/>
          <w:vertAlign w:val="superscript"/>
        </w:rPr>
        <w:t>1</w:t>
      </w:r>
      <w:r>
        <w:rPr>
          <w:sz w:val="20"/>
          <w:szCs w:val="20"/>
        </w:rPr>
        <w:br/>
      </w:r>
      <w:r>
        <w:rPr>
          <w:color w:val="1A1A1A"/>
          <w:sz w:val="20"/>
          <w:szCs w:val="20"/>
        </w:rPr>
        <w:t>Carolina Faccin Da Ros</w:t>
      </w:r>
      <w:r>
        <w:rPr>
          <w:color w:val="1A1A1A"/>
          <w:sz w:val="20"/>
          <w:szCs w:val="20"/>
          <w:vertAlign w:val="superscript"/>
        </w:rPr>
        <w:t>1</w:t>
      </w:r>
      <w:r>
        <w:rPr>
          <w:sz w:val="20"/>
          <w:szCs w:val="20"/>
        </w:rPr>
        <w:br/>
      </w:r>
      <w:r>
        <w:rPr>
          <w:color w:val="1A1A1A"/>
          <w:sz w:val="20"/>
          <w:szCs w:val="20"/>
        </w:rPr>
        <w:t>Camila Ferreira Overbeck</w:t>
      </w:r>
      <w:r>
        <w:rPr>
          <w:color w:val="1A1A1A"/>
          <w:sz w:val="20"/>
          <w:szCs w:val="20"/>
          <w:vertAlign w:val="superscript"/>
        </w:rPr>
        <w:t>1</w:t>
      </w:r>
      <w:r>
        <w:rPr>
          <w:sz w:val="20"/>
          <w:szCs w:val="20"/>
        </w:rPr>
        <w:br/>
      </w:r>
      <w:r>
        <w:rPr>
          <w:color w:val="1A1A1A"/>
          <w:sz w:val="20"/>
          <w:szCs w:val="20"/>
        </w:rPr>
        <w:t>Maria Carolina Hirsch</w:t>
      </w:r>
      <w:r>
        <w:rPr>
          <w:color w:val="1A1A1A"/>
          <w:sz w:val="20"/>
          <w:szCs w:val="20"/>
          <w:vertAlign w:val="superscript"/>
        </w:rPr>
        <w:t>1</w:t>
      </w:r>
      <w:r>
        <w:rPr>
          <w:sz w:val="20"/>
          <w:szCs w:val="20"/>
        </w:rPr>
        <w:br/>
      </w:r>
      <w:r>
        <w:rPr>
          <w:color w:val="1A1A1A"/>
          <w:sz w:val="20"/>
          <w:szCs w:val="20"/>
        </w:rPr>
        <w:t>Murilo Antônio Borba</w:t>
      </w:r>
      <w:r>
        <w:rPr>
          <w:color w:val="1A1A1A"/>
          <w:sz w:val="20"/>
          <w:szCs w:val="20"/>
          <w:vertAlign w:val="superscript"/>
        </w:rPr>
        <w:t>1</w:t>
      </w:r>
      <w:r>
        <w:rPr>
          <w:sz w:val="20"/>
          <w:szCs w:val="20"/>
        </w:rPr>
        <w:br/>
      </w:r>
      <w:r>
        <w:rPr>
          <w:color w:val="1A1A1A"/>
          <w:sz w:val="20"/>
          <w:szCs w:val="20"/>
        </w:rPr>
        <w:t>Vitor Petry Thiele</w:t>
      </w:r>
      <w:r>
        <w:rPr>
          <w:color w:val="1A1A1A"/>
          <w:sz w:val="20"/>
          <w:szCs w:val="20"/>
          <w:vertAlign w:val="superscript"/>
        </w:rPr>
        <w:t>1</w:t>
      </w:r>
      <w:r>
        <w:rPr>
          <w:sz w:val="20"/>
          <w:szCs w:val="20"/>
        </w:rPr>
        <w:br/>
      </w:r>
      <w:r>
        <w:rPr>
          <w:color w:val="1A1A1A"/>
          <w:sz w:val="20"/>
          <w:szCs w:val="20"/>
        </w:rPr>
        <w:t>Roberta Herath Rascovetzki</w:t>
      </w:r>
      <w:r>
        <w:rPr>
          <w:color w:val="1A1A1A"/>
          <w:sz w:val="20"/>
          <w:szCs w:val="20"/>
          <w:vertAlign w:val="superscript"/>
        </w:rPr>
        <w:t>1</w:t>
      </w:r>
    </w:p>
    <w:p w:rsidR="000B5910" w:rsidRDefault="00057F5C">
      <w:pPr>
        <w:spacing w:before="200" w:after="100"/>
      </w:pPr>
      <w:r>
        <w:rPr>
          <w:b/>
          <w:color w:val="1A1A1A"/>
          <w:sz w:val="22"/>
          <w:szCs w:val="24"/>
        </w:rPr>
        <w:t>RESUMO</w:t>
      </w:r>
    </w:p>
    <w:p w:rsidR="000B5910" w:rsidRPr="00593855" w:rsidRDefault="00057F5C">
      <w:pPr>
        <w:spacing w:after="80" w:line="264" w:lineRule="auto"/>
        <w:jc w:val="both"/>
        <w:rPr>
          <w:sz w:val="22"/>
        </w:rPr>
      </w:pPr>
      <w:r w:rsidRPr="00593855">
        <w:rPr>
          <w:b/>
          <w:color w:val="1A1A1A"/>
          <w:sz w:val="22"/>
        </w:rPr>
        <w:t>Introdução:</w:t>
      </w:r>
      <w:r w:rsidRPr="00593855">
        <w:rPr>
          <w:color w:val="1A1A1A"/>
          <w:sz w:val="22"/>
        </w:rPr>
        <w:t xml:space="preserve"> A obesidade é uma doença crônica, multifatorial e de elevada prevalência global, associada ao aumento da morbimortalidade. Historicamente, os tratamentos farmacológicos apresentaram eficácia modesta e limitações quanto à tolerabilidade. Entretanto, novas terapias, como a semaglutida (agonista do receptor de GLP-1) e a tirzepatida (agonista duplo de GLP-1/GIP), têm sido associadas à reduções ponderais expressivas. </w:t>
      </w:r>
      <w:r w:rsidRPr="00593855">
        <w:rPr>
          <w:b/>
          <w:color w:val="1A1A1A"/>
          <w:sz w:val="22"/>
        </w:rPr>
        <w:t>Objetivo</w:t>
      </w:r>
      <w:r w:rsidRPr="00593855">
        <w:rPr>
          <w:color w:val="1A1A1A"/>
          <w:sz w:val="22"/>
        </w:rPr>
        <w:t xml:space="preserve">: Comparar eficácia e segurança da semaglutida e da tirzepatida no tratamento da obesidade em adultos. </w:t>
      </w:r>
      <w:r w:rsidRPr="00593855">
        <w:rPr>
          <w:b/>
          <w:color w:val="1A1A1A"/>
          <w:sz w:val="22"/>
        </w:rPr>
        <w:t>Métodos:</w:t>
      </w:r>
      <w:r w:rsidRPr="00593855">
        <w:rPr>
          <w:color w:val="1A1A1A"/>
          <w:sz w:val="22"/>
        </w:rPr>
        <w:t xml:space="preserve"> Revisão sistemática com busca de artigos nas bases PubMed e Web of Science, com os descritores "Tirzepatide", "Semaglutide", “Obesity” e “Adult”, presentes no DeCS/MeSH, combinados pelo operador booleano AND. Incluíram-se revisões de literatura, ensaios clínicos randomizados e meta-análises, publicados em 2025 e 2026, em português e inglês, com acesso aberto e íntegro. Excluíram-se estudos duplicados e que não se adequam ao objetivo pretendido. </w:t>
      </w:r>
      <w:r w:rsidRPr="00593855">
        <w:rPr>
          <w:b/>
          <w:color w:val="1A1A1A"/>
          <w:sz w:val="22"/>
        </w:rPr>
        <w:t>Resultados</w:t>
      </w:r>
      <w:r w:rsidRPr="00593855">
        <w:rPr>
          <w:color w:val="1A1A1A"/>
          <w:sz w:val="22"/>
        </w:rPr>
        <w:t xml:space="preserve">: Foram incluídos 9 dos 81 artigos encontrados. A semaglutida e a tirzepatida demonstraram eficácia na promoção da perda de peso como adjuvante em adultos com obesidade (IMC ≥ 30 kg/m²) ou sobrepeso com comorbidade associada (IMC ≥ 27 kg/m²). Nos estudos STEP, a semaglutida 2,4 mg reduziu 10,6% do peso em 68 semanas versus 2,4% de redução com o placebo. Já os ensaios SURMOUNT evidenciaram reduções substanciais no peso de 15,0%, 19,5% e 20,9% com tirzepatida 5, 10 e 15 mg, respectivamente, em 72 semanas, em comparação à 3,1% pelo grupo placebo. O SURMOUNT-5 estabeleceu um comparativo entre os dois fármacos demonstrando que a tirzepatida foi superior à semaglutida na redução de peso, além de promover maior redução de IMC, circunferência abdominal, HbA1c e perfil lipídico. A meta de ≥5% de perda ponderal foi atingida por 80% e 84% dos participantes com tirzepatida 10 e 15 mg, respectivamente, versus 69% com semaglutida. Acerca da segurança, ambos os fármacos apresentaram resultados semelhantes, com eventos gastrointestinais gerenciáveis. A manutenção da perda de peso após a suspensão permanece um desafio. Entretanto, associadas </w:t>
      </w:r>
      <w:proofErr w:type="gramStart"/>
      <w:r w:rsidRPr="00593855">
        <w:rPr>
          <w:color w:val="1A1A1A"/>
          <w:sz w:val="22"/>
        </w:rPr>
        <w:t>a</w:t>
      </w:r>
      <w:proofErr w:type="gramEnd"/>
      <w:r w:rsidRPr="00593855">
        <w:rPr>
          <w:color w:val="1A1A1A"/>
          <w:sz w:val="22"/>
        </w:rPr>
        <w:t xml:space="preserve"> intervenções no estilo de vida, essas terapias demonstram potencial para sustentação a longo prazo. </w:t>
      </w:r>
      <w:r w:rsidRPr="00593855">
        <w:rPr>
          <w:b/>
          <w:color w:val="1A1A1A"/>
          <w:sz w:val="22"/>
        </w:rPr>
        <w:t>Conclusão</w:t>
      </w:r>
      <w:r w:rsidRPr="00593855">
        <w:rPr>
          <w:color w:val="1A1A1A"/>
          <w:sz w:val="22"/>
        </w:rPr>
        <w:t xml:space="preserve">: Ambos os fármacos são terapias eficazes para </w:t>
      </w:r>
      <w:proofErr w:type="gramStart"/>
      <w:r w:rsidRPr="00593855">
        <w:rPr>
          <w:color w:val="1A1A1A"/>
          <w:sz w:val="22"/>
        </w:rPr>
        <w:t>a</w:t>
      </w:r>
      <w:proofErr w:type="gramEnd"/>
      <w:r w:rsidRPr="00593855">
        <w:rPr>
          <w:color w:val="1A1A1A"/>
          <w:sz w:val="22"/>
        </w:rPr>
        <w:t xml:space="preserve"> obesidade, com a tirzepatida demonstrando superioridade na redução ponderal e metabólica devido à sua dupla ação, caracterizando-se como um potente agente para o controle da obesidade. </w:t>
      </w:r>
    </w:p>
    <w:p w:rsidR="000B5910" w:rsidRDefault="000B5910">
      <w:pPr>
        <w:pBdr>
          <w:bottom w:val="single" w:sz="4" w:space="2" w:color="808080"/>
        </w:pBdr>
        <w:spacing w:before="120" w:after="40"/>
      </w:pPr>
    </w:p>
    <w:p w:rsidR="000B5910" w:rsidRPr="00593855" w:rsidRDefault="00057F5C">
      <w:pPr>
        <w:spacing w:after="0" w:line="252" w:lineRule="auto"/>
        <w:rPr>
          <w:sz w:val="16"/>
          <w:szCs w:val="16"/>
        </w:rPr>
      </w:pPr>
      <w:r w:rsidRPr="00593855">
        <w:rPr>
          <w:color w:val="595959"/>
          <w:sz w:val="16"/>
          <w:szCs w:val="16"/>
          <w:vertAlign w:val="superscript"/>
        </w:rPr>
        <w:t>1</w:t>
      </w:r>
      <w:r w:rsidRPr="00593855">
        <w:rPr>
          <w:color w:val="595959"/>
          <w:sz w:val="16"/>
          <w:szCs w:val="16"/>
        </w:rPr>
        <w:t xml:space="preserve"> Universidade de Santa Cruz do Sul</w:t>
      </w:r>
    </w:p>
    <w:p w:rsidR="000B5910" w:rsidRDefault="000B5910">
      <w:pPr>
        <w:sectPr w:rsidR="000B5910">
          <w:headerReference w:type="default" r:id="rId135"/>
          <w:footerReference w:type="default" r:id="rId13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PERFIL EPIDEMIOLÓGICO DAS INTERNAÇÕES HOSPITALARES POR TIREOTOXICOSE NO BRASIL (2010-2025)</w:t>
      </w:r>
    </w:p>
    <w:p w:rsidR="000B5910" w:rsidRPr="00593855" w:rsidRDefault="00057F5C">
      <w:pPr>
        <w:spacing w:after="40" w:line="252" w:lineRule="auto"/>
        <w:jc w:val="right"/>
        <w:rPr>
          <w:szCs w:val="21"/>
        </w:rPr>
      </w:pPr>
      <w:r w:rsidRPr="00593855">
        <w:rPr>
          <w:color w:val="1A1A1A"/>
          <w:szCs w:val="21"/>
        </w:rPr>
        <w:t>Júlia Hickmann</w:t>
      </w:r>
      <w:r w:rsidRPr="00593855">
        <w:rPr>
          <w:color w:val="1A1A1A"/>
          <w:szCs w:val="21"/>
          <w:vertAlign w:val="superscript"/>
        </w:rPr>
        <w:t>1</w:t>
      </w:r>
      <w:r w:rsidRPr="00593855">
        <w:rPr>
          <w:szCs w:val="21"/>
        </w:rPr>
        <w:br/>
      </w:r>
    </w:p>
    <w:p w:rsidR="000B5910" w:rsidRDefault="00057F5C">
      <w:pPr>
        <w:spacing w:before="240" w:after="100"/>
      </w:pPr>
      <w:r>
        <w:rPr>
          <w:b/>
          <w:color w:val="1A1A1A"/>
          <w:sz w:val="22"/>
        </w:rPr>
        <w:t>RESUMO</w:t>
      </w:r>
    </w:p>
    <w:p w:rsidR="000B5910" w:rsidRPr="00593855" w:rsidRDefault="00057F5C">
      <w:pPr>
        <w:spacing w:after="80"/>
        <w:jc w:val="both"/>
        <w:rPr>
          <w:sz w:val="22"/>
        </w:rPr>
      </w:pPr>
      <w:r w:rsidRPr="00593855">
        <w:rPr>
          <w:b/>
          <w:color w:val="1A1A1A"/>
          <w:sz w:val="22"/>
        </w:rPr>
        <w:t>Introdução:</w:t>
      </w:r>
      <w:r w:rsidRPr="00593855">
        <w:rPr>
          <w:color w:val="1A1A1A"/>
          <w:sz w:val="22"/>
        </w:rPr>
        <w:t xml:space="preserve"> A tireotoxicose é uma condição clínica caracterizada pela atividade excessiva dos hormônios tireoidianos, triiodotironina (T3) e tiroxina (T4). Isso pode resultar tanto de uma produção aumentada desses hormônios pela glândula tireoide quanto de sua liberação excessiva, seja por ingestão exógena ou pela presença de nódulos tireoidianos. </w:t>
      </w:r>
      <w:proofErr w:type="gramStart"/>
      <w:r w:rsidRPr="00593855">
        <w:rPr>
          <w:color w:val="1A1A1A"/>
          <w:sz w:val="22"/>
        </w:rPr>
        <w:t>A</w:t>
      </w:r>
      <w:proofErr w:type="gramEnd"/>
      <w:r w:rsidRPr="00593855">
        <w:rPr>
          <w:color w:val="1A1A1A"/>
          <w:sz w:val="22"/>
        </w:rPr>
        <w:t xml:space="preserve"> epidemiologia da tireotoxicose demonstra uma maior prevalência no sexo feminino, em pessoas entre 30 e 49 anos e populações caucasianas.</w:t>
      </w:r>
      <w:r w:rsidRPr="00593855">
        <w:rPr>
          <w:b/>
          <w:color w:val="1A1A1A"/>
          <w:sz w:val="22"/>
        </w:rPr>
        <w:t xml:space="preserve"> Objetivo:</w:t>
      </w:r>
      <w:r w:rsidRPr="00593855">
        <w:rPr>
          <w:color w:val="1A1A1A"/>
          <w:sz w:val="22"/>
        </w:rPr>
        <w:t xml:space="preserve"> Avaliar o perfil epidemiológico de internações hospitalares por tireotoxicose no Brasil entre 2010 e 2025. </w:t>
      </w:r>
      <w:r w:rsidRPr="00593855">
        <w:rPr>
          <w:b/>
          <w:color w:val="1A1A1A"/>
          <w:sz w:val="22"/>
        </w:rPr>
        <w:t>Métodos</w:t>
      </w:r>
      <w:r w:rsidRPr="00593855">
        <w:rPr>
          <w:color w:val="1A1A1A"/>
          <w:sz w:val="22"/>
        </w:rPr>
        <w:t>: Trata-se de um estudo epidemiológico, observacional e retrospectivo realizado a partir de informações obtidas por meio do Sistema de Informações Hospitalares do Sistema Único de Saúde (SIH/SUS). Foram analisadas as internações hospitalares por tireotoxicose no Brasil no período de 2010 a 2025.</w:t>
      </w:r>
      <w:r w:rsidRPr="00593855">
        <w:rPr>
          <w:b/>
          <w:color w:val="1A1A1A"/>
          <w:sz w:val="22"/>
        </w:rPr>
        <w:t xml:space="preserve"> Resultados: </w:t>
      </w:r>
      <w:r w:rsidRPr="00593855">
        <w:rPr>
          <w:color w:val="1A1A1A"/>
          <w:sz w:val="22"/>
        </w:rPr>
        <w:t>No período de 2010 a 2025, foram registradas 9983 internações hospitalares por tireotoxicose no Brasil, o que demonstra o forte impacto na rede hospitalar pública. Observou-se maior frequência no sexo feminino, com 7814 internações (~78,27%), um achado que está em consonância com estudos epidemiológicos que demonstram a prevalência de doenças tireoideanas em mulheres. Na análise por faixa etária, a maior concentração de internações ocorreu entre 30 e 39 anos (2.149 casos) e 40 e 49 anos (2.202 casos). Em relação à distribuição por raça/cor, observou-se maior número de internações entre indivíduos pardos (3576 casos). Tal padrão reflete a composição demográfica da população brasileira e a distribuição dos usuários do SUS. Por último, observou-se predominância de internações na Região Sudeste, responsável por 5859 internações (58,69%). A predominância de internações na região sudeste podem ser explicadas pela maior densidade populacional e concentração de serviços de saúde de alta e média complexidade, facilitando o diagnóstico. Entre as unidades da federação, São Paulo apresentou o maior número de internações (2622).</w:t>
      </w:r>
      <w:r w:rsidR="0064145B" w:rsidRPr="00593855">
        <w:rPr>
          <w:color w:val="1A1A1A"/>
          <w:sz w:val="22"/>
        </w:rPr>
        <w:t xml:space="preserve"> </w:t>
      </w:r>
      <w:r w:rsidRPr="00593855">
        <w:rPr>
          <w:b/>
          <w:color w:val="1A1A1A"/>
          <w:sz w:val="22"/>
        </w:rPr>
        <w:t>Conclusão:</w:t>
      </w:r>
      <w:r w:rsidRPr="00593855">
        <w:rPr>
          <w:color w:val="1A1A1A"/>
          <w:sz w:val="22"/>
        </w:rPr>
        <w:t xml:space="preserve"> Conclui-se que a tireotoxicose causa alto impacto no sistema público de saúde brasileiro. Embora os dados sejam extraídos do SIH/SUS, e não contemplem dados de outros setores da saúde, a distribuição geográfica assemelha-se à demografia espacial brasileira, e pode fornecer fundamentação para uma melhor organização da rede de atenção à saúde e proporcionar mais diagnósticos precoces e manejos extra-hospitalares.</w:t>
      </w:r>
    </w:p>
    <w:p w:rsidR="000B5910" w:rsidRDefault="000B5910">
      <w:pPr>
        <w:pBdr>
          <w:bottom w:val="single" w:sz="4" w:space="2" w:color="808080"/>
        </w:pBdr>
        <w:spacing w:before="160" w:after="40"/>
      </w:pPr>
    </w:p>
    <w:p w:rsidR="000B5910" w:rsidRPr="00593855" w:rsidRDefault="00057F5C">
      <w:pPr>
        <w:spacing w:after="0" w:line="252" w:lineRule="auto"/>
        <w:rPr>
          <w:sz w:val="16"/>
          <w:szCs w:val="16"/>
        </w:rPr>
      </w:pPr>
      <w:r w:rsidRPr="00593855">
        <w:rPr>
          <w:color w:val="595959"/>
          <w:sz w:val="16"/>
          <w:szCs w:val="16"/>
          <w:vertAlign w:val="superscript"/>
        </w:rPr>
        <w:t>1</w:t>
      </w:r>
      <w:r w:rsidRPr="00593855">
        <w:rPr>
          <w:color w:val="595959"/>
          <w:sz w:val="16"/>
          <w:szCs w:val="16"/>
        </w:rPr>
        <w:t xml:space="preserve"> Universidade do Vale do Rio dos Sinos – Unisinos</w:t>
      </w:r>
    </w:p>
    <w:p w:rsidR="000B5910" w:rsidRDefault="000B5910">
      <w:pPr>
        <w:sectPr w:rsidR="000B5910">
          <w:headerReference w:type="default" r:id="rId137"/>
          <w:footerReference w:type="default" r:id="rId138"/>
          <w:pgSz w:w="12240" w:h="15840"/>
          <w:pgMar w:top="1417" w:right="1417" w:bottom="1417" w:left="1417" w:header="680" w:footer="680" w:gutter="0"/>
          <w:cols w:space="720"/>
        </w:sectPr>
      </w:pPr>
    </w:p>
    <w:p w:rsidR="000B5910" w:rsidRDefault="00057F5C">
      <w:pPr>
        <w:spacing w:before="80" w:line="252" w:lineRule="auto"/>
        <w:jc w:val="center"/>
        <w:rPr>
          <w:spacing w:val="-17"/>
          <w:sz w:val="22"/>
          <w:szCs w:val="24"/>
        </w:rPr>
      </w:pPr>
      <w:r>
        <w:rPr>
          <w:b/>
          <w:color w:val="1A1A1A"/>
          <w:spacing w:val="-17"/>
          <w:sz w:val="28"/>
          <w:szCs w:val="24"/>
        </w:rPr>
        <w:lastRenderedPageBreak/>
        <w:t xml:space="preserve">INTELIGÊNCIA ARTIFICIAL NA AVALIAÇÃO DE NÓDULOS TIREOIDIANOS: </w:t>
      </w:r>
      <w:r>
        <w:rPr>
          <w:b/>
          <w:color w:val="1A1A1A"/>
          <w:spacing w:val="-11"/>
          <w:sz w:val="28"/>
          <w:szCs w:val="24"/>
        </w:rPr>
        <w:t>DEEP LEARNING, TI-RADS E REDUÇÃO DE BIÓPSIAS DESNECESSÁRIAS</w:t>
      </w:r>
    </w:p>
    <w:p w:rsidR="000B5910" w:rsidRPr="00593855" w:rsidRDefault="00057F5C">
      <w:pPr>
        <w:spacing w:after="40" w:line="252" w:lineRule="auto"/>
        <w:jc w:val="right"/>
        <w:rPr>
          <w:szCs w:val="21"/>
        </w:rPr>
      </w:pPr>
      <w:r w:rsidRPr="00593855">
        <w:rPr>
          <w:color w:val="1A1A1A"/>
          <w:szCs w:val="21"/>
        </w:rPr>
        <w:t>Marco Antônio Brugnarotto Galvan</w:t>
      </w:r>
      <w:r w:rsidRPr="00593855">
        <w:rPr>
          <w:color w:val="1A1A1A"/>
          <w:szCs w:val="21"/>
          <w:vertAlign w:val="superscript"/>
        </w:rPr>
        <w:t>1</w:t>
      </w:r>
      <w:r w:rsidRPr="00593855">
        <w:rPr>
          <w:szCs w:val="21"/>
        </w:rPr>
        <w:br/>
      </w:r>
      <w:r w:rsidRPr="00593855">
        <w:rPr>
          <w:color w:val="1A1A1A"/>
          <w:szCs w:val="21"/>
        </w:rPr>
        <w:t>Helena Uchôa</w:t>
      </w:r>
      <w:r w:rsidRPr="00593855">
        <w:rPr>
          <w:color w:val="1A1A1A"/>
          <w:szCs w:val="21"/>
          <w:vertAlign w:val="superscript"/>
        </w:rPr>
        <w:t>1</w:t>
      </w:r>
      <w:r w:rsidRPr="00593855">
        <w:rPr>
          <w:szCs w:val="21"/>
        </w:rPr>
        <w:br/>
      </w:r>
      <w:r w:rsidRPr="00593855">
        <w:rPr>
          <w:color w:val="1A1A1A"/>
          <w:szCs w:val="21"/>
        </w:rPr>
        <w:t>Antônia dos Santos Bobrowski</w:t>
      </w:r>
      <w:r w:rsidRPr="00593855">
        <w:rPr>
          <w:color w:val="1A1A1A"/>
          <w:szCs w:val="21"/>
          <w:vertAlign w:val="superscript"/>
        </w:rPr>
        <w:t>1</w:t>
      </w:r>
      <w:r w:rsidRPr="00593855">
        <w:rPr>
          <w:szCs w:val="21"/>
        </w:rPr>
        <w:br/>
      </w:r>
      <w:r w:rsidRPr="00593855">
        <w:rPr>
          <w:color w:val="1A1A1A"/>
          <w:szCs w:val="21"/>
        </w:rPr>
        <w:t>Inácio Kehl</w:t>
      </w:r>
      <w:r w:rsidRPr="00593855">
        <w:rPr>
          <w:color w:val="1A1A1A"/>
          <w:szCs w:val="21"/>
          <w:vertAlign w:val="superscript"/>
        </w:rPr>
        <w:t>1</w:t>
      </w:r>
      <w:r w:rsidRPr="00593855">
        <w:rPr>
          <w:szCs w:val="21"/>
        </w:rPr>
        <w:br/>
      </w:r>
      <w:r w:rsidRPr="00593855">
        <w:rPr>
          <w:color w:val="1A1A1A"/>
          <w:szCs w:val="21"/>
        </w:rPr>
        <w:t>Valentina Dall’Agnol Roman</w:t>
      </w:r>
      <w:r w:rsidRPr="00593855">
        <w:rPr>
          <w:color w:val="1A1A1A"/>
          <w:szCs w:val="21"/>
          <w:vertAlign w:val="superscript"/>
        </w:rPr>
        <w:t>1</w:t>
      </w:r>
      <w:r w:rsidRPr="00593855">
        <w:rPr>
          <w:szCs w:val="21"/>
        </w:rPr>
        <w:br/>
      </w:r>
      <w:r w:rsidRPr="00593855">
        <w:rPr>
          <w:color w:val="1A1A1A"/>
          <w:szCs w:val="21"/>
        </w:rPr>
        <w:t>Murilo Gonçalves Braga</w:t>
      </w:r>
      <w:r w:rsidRPr="00593855">
        <w:rPr>
          <w:color w:val="1A1A1A"/>
          <w:szCs w:val="21"/>
          <w:vertAlign w:val="superscript"/>
        </w:rPr>
        <w:t>1</w:t>
      </w:r>
      <w:r w:rsidRPr="00593855">
        <w:rPr>
          <w:szCs w:val="21"/>
        </w:rPr>
        <w:br/>
      </w:r>
      <w:r w:rsidRPr="00593855">
        <w:rPr>
          <w:color w:val="1A1A1A"/>
          <w:szCs w:val="21"/>
        </w:rPr>
        <w:t>Márcio Cruvinel Barbosa de Macêdo</w:t>
      </w:r>
      <w:r w:rsidRPr="00593855">
        <w:rPr>
          <w:color w:val="1A1A1A"/>
          <w:szCs w:val="21"/>
          <w:vertAlign w:val="superscript"/>
        </w:rPr>
        <w:t>1</w:t>
      </w:r>
      <w:r w:rsidRPr="00593855">
        <w:rPr>
          <w:szCs w:val="21"/>
        </w:rPr>
        <w:br/>
      </w:r>
      <w:r w:rsidRPr="00593855">
        <w:rPr>
          <w:color w:val="1A1A1A"/>
          <w:szCs w:val="21"/>
        </w:rPr>
        <w:t>Matheus Coelho Brasco</w:t>
      </w:r>
      <w:r w:rsidRPr="00593855">
        <w:rPr>
          <w:color w:val="1A1A1A"/>
          <w:szCs w:val="21"/>
          <w:vertAlign w:val="superscript"/>
        </w:rPr>
        <w:t>1</w:t>
      </w:r>
      <w:r w:rsidRPr="00593855">
        <w:rPr>
          <w:szCs w:val="21"/>
        </w:rPr>
        <w:br/>
      </w:r>
      <w:r w:rsidRPr="00593855">
        <w:rPr>
          <w:color w:val="1A1A1A"/>
          <w:szCs w:val="21"/>
        </w:rPr>
        <w:t>Nur Abdalla Juma Abdel Hamid</w:t>
      </w:r>
      <w:r w:rsidRPr="00593855">
        <w:rPr>
          <w:color w:val="1A1A1A"/>
          <w:szCs w:val="21"/>
          <w:vertAlign w:val="superscript"/>
        </w:rPr>
        <w:t>1</w:t>
      </w:r>
      <w:r w:rsidRPr="00593855">
        <w:rPr>
          <w:szCs w:val="21"/>
        </w:rPr>
        <w:br/>
      </w:r>
      <w:r w:rsidRPr="00593855">
        <w:rPr>
          <w:color w:val="1A1A1A"/>
          <w:szCs w:val="21"/>
        </w:rPr>
        <w:t>Lumiere Pasin Schwarzbach</w:t>
      </w:r>
      <w:r w:rsidRPr="00593855">
        <w:rPr>
          <w:color w:val="1A1A1A"/>
          <w:szCs w:val="21"/>
          <w:vertAlign w:val="superscript"/>
        </w:rPr>
        <w:t>1</w:t>
      </w:r>
      <w:r w:rsidRPr="00593855">
        <w:rPr>
          <w:szCs w:val="21"/>
        </w:rPr>
        <w:br/>
      </w:r>
      <w:r w:rsidRPr="00593855">
        <w:rPr>
          <w:color w:val="1A1A1A"/>
          <w:szCs w:val="21"/>
        </w:rPr>
        <w:t>Mariana Pucinskas Hadlich⁠</w:t>
      </w:r>
      <w:r w:rsidRPr="00593855">
        <w:rPr>
          <w:color w:val="1A1A1A"/>
          <w:szCs w:val="21"/>
          <w:vertAlign w:val="superscript"/>
        </w:rPr>
        <w:t>1</w:t>
      </w:r>
    </w:p>
    <w:p w:rsidR="000B5910" w:rsidRDefault="00057F5C" w:rsidP="00593855">
      <w:pPr>
        <w:spacing w:before="200" w:after="100" w:line="240" w:lineRule="auto"/>
        <w:rPr>
          <w:sz w:val="22"/>
          <w:szCs w:val="24"/>
        </w:rPr>
      </w:pPr>
      <w:r>
        <w:rPr>
          <w:b/>
          <w:color w:val="1A1A1A"/>
          <w:sz w:val="22"/>
          <w:szCs w:val="24"/>
        </w:rPr>
        <w:t>RESUMO</w:t>
      </w:r>
    </w:p>
    <w:p w:rsidR="000B5910" w:rsidRPr="00593855" w:rsidRDefault="00057F5C" w:rsidP="00593855">
      <w:pPr>
        <w:spacing w:after="80" w:line="240" w:lineRule="auto"/>
        <w:jc w:val="both"/>
        <w:rPr>
          <w:sz w:val="22"/>
        </w:rPr>
      </w:pPr>
      <w:r w:rsidRPr="00593855">
        <w:rPr>
          <w:b/>
          <w:color w:val="1A1A1A"/>
          <w:sz w:val="22"/>
        </w:rPr>
        <w:t>Introdução:</w:t>
      </w:r>
      <w:r w:rsidRPr="00593855">
        <w:rPr>
          <w:color w:val="1A1A1A"/>
          <w:sz w:val="22"/>
        </w:rPr>
        <w:t xml:space="preserve"> A ultrassonografia é o principal método para avaliação de nódulos tireoidianos, sendo o TI-RADS amplamente utilizado na classificação dessas lesões. No entanto, limitações como variabilidade na interpretação e consideráveis ocorrências de biópsias em nódulos benignos motivam a busca por abordagens mais precisas. Nesse cenário, modelos de inteligência artificial, como o deep learning, surgem como possíveis ferramentas de aprimoramento diagnóstico e auxílio à conduta clínica. </w:t>
      </w:r>
      <w:r w:rsidRPr="00593855">
        <w:rPr>
          <w:b/>
          <w:color w:val="1A1A1A"/>
          <w:sz w:val="22"/>
        </w:rPr>
        <w:t>Objetivo:</w:t>
      </w:r>
      <w:r w:rsidRPr="00593855">
        <w:rPr>
          <w:color w:val="1A1A1A"/>
          <w:sz w:val="22"/>
        </w:rPr>
        <w:t xml:space="preserve"> Avaliar a aplicação de modelos de deep learning associados ao sistema TI-RADS na classificação de nódulos tireoidianos, analisando o desempenho diagnóstico dessas ferramentas e seu potencial na redução de biópsias desnecessárias, visando apoiar a tomada de decisão clínica. </w:t>
      </w:r>
      <w:r w:rsidRPr="00593855">
        <w:rPr>
          <w:b/>
          <w:color w:val="1A1A1A"/>
          <w:sz w:val="22"/>
        </w:rPr>
        <w:t xml:space="preserve">Métodos: </w:t>
      </w:r>
      <w:r w:rsidRPr="00593855">
        <w:rPr>
          <w:color w:val="1A1A1A"/>
          <w:sz w:val="22"/>
        </w:rPr>
        <w:t xml:space="preserve">Revisão sistemática conduzida conforme as diretrizes PRISMA nas bases PubMed e Scopus. Utilizaram-se descritores como Inteligência Artificial, Deep Learning, nódulo tireoidiano, TI-RADS e biópsia, com operadores booleanos. Incluíram-se estudos de precisão diagnóstica e validações clínicas dos últimos 10 anos. Após triagem por títulos, resumos e leitura integral, </w:t>
      </w:r>
      <w:proofErr w:type="gramStart"/>
      <w:r w:rsidRPr="00593855">
        <w:rPr>
          <w:color w:val="1A1A1A"/>
          <w:sz w:val="22"/>
        </w:rPr>
        <w:t>a</w:t>
      </w:r>
      <w:proofErr w:type="gramEnd"/>
      <w:r w:rsidRPr="00593855">
        <w:rPr>
          <w:color w:val="1A1A1A"/>
          <w:sz w:val="22"/>
        </w:rPr>
        <w:t xml:space="preserve"> extração de dados e a avaliação de viés foram conduzidas de forma cega por dois revisores para síntese qualitativa e quantitativa. </w:t>
      </w:r>
      <w:r w:rsidRPr="00593855">
        <w:rPr>
          <w:b/>
          <w:color w:val="1A1A1A"/>
          <w:sz w:val="22"/>
        </w:rPr>
        <w:t>Resultados:</w:t>
      </w:r>
      <w:r w:rsidRPr="00593855">
        <w:rPr>
          <w:color w:val="1A1A1A"/>
          <w:sz w:val="22"/>
        </w:rPr>
        <w:t xml:space="preserve"> Após elegibilidade de 22 estudos multicêntricos de alta qualidade, integraram a síntese quantitativa 25.400 nódulos tireoidianos. O uso de IA como redes neurais convulsionais e sistemas de suporte à decisão, acoplados ao ACR TI-RADS demonstrou uma sensibilidade de 89,5% e especificidade de 68,2% com AUC média de 0,87. Frente à avaliação visual por radiologistas, o deep learning aumentou </w:t>
      </w:r>
      <w:proofErr w:type="gramStart"/>
      <w:r w:rsidRPr="00593855">
        <w:rPr>
          <w:color w:val="1A1A1A"/>
          <w:sz w:val="22"/>
        </w:rPr>
        <w:t>a</w:t>
      </w:r>
      <w:proofErr w:type="gramEnd"/>
      <w:r w:rsidRPr="00593855">
        <w:rPr>
          <w:color w:val="1A1A1A"/>
          <w:sz w:val="22"/>
        </w:rPr>
        <w:t xml:space="preserve"> especificidade em 27%, sem comprometer a detecção de malignidade. </w:t>
      </w:r>
      <w:proofErr w:type="gramStart"/>
      <w:r w:rsidRPr="00593855">
        <w:rPr>
          <w:color w:val="1A1A1A"/>
          <w:sz w:val="22"/>
        </w:rPr>
        <w:t>A</w:t>
      </w:r>
      <w:proofErr w:type="gramEnd"/>
      <w:r w:rsidRPr="00593855">
        <w:rPr>
          <w:color w:val="1A1A1A"/>
          <w:sz w:val="22"/>
        </w:rPr>
        <w:t xml:space="preserve"> análise clínica provou que a IA atuou como um exímio filtro de triagem: nas coortes de validação, reduziu a taxa de indicação de PAAF em nódulos benignos de 41,0% para até 9,4% nos algoritmos mais avançados.</w:t>
      </w:r>
      <w:r w:rsidRPr="00593855">
        <w:rPr>
          <w:b/>
          <w:color w:val="1A1A1A"/>
          <w:sz w:val="22"/>
        </w:rPr>
        <w:t xml:space="preserve"> Conclusão:</w:t>
      </w:r>
      <w:r w:rsidRPr="00593855">
        <w:rPr>
          <w:color w:val="1A1A1A"/>
          <w:sz w:val="22"/>
        </w:rPr>
        <w:t xml:space="preserve"> A associação entre modelos de deep learning e o ACR TI-RADS demonstrou impacto relevante na classificação de nódulos tireoidianos, com aguçada sensibilidade e ganho significativo de especificidade em comparação com </w:t>
      </w:r>
      <w:proofErr w:type="gramStart"/>
      <w:r w:rsidRPr="00593855">
        <w:rPr>
          <w:color w:val="1A1A1A"/>
          <w:sz w:val="22"/>
        </w:rPr>
        <w:t>a</w:t>
      </w:r>
      <w:proofErr w:type="gramEnd"/>
      <w:r w:rsidRPr="00593855">
        <w:rPr>
          <w:color w:val="1A1A1A"/>
          <w:sz w:val="22"/>
        </w:rPr>
        <w:t xml:space="preserve"> avaliação isolada por radiologistas. Torna-se evidente, portanto, o potencial da inteligência artificial como ferramenta complementar na prática clínica, contribuindo para maior precisão diagnóstica e, por conseguinte, para a racionalização de procedimentos de </w:t>
      </w:r>
      <w:proofErr w:type="gramStart"/>
      <w:r w:rsidRPr="00593855">
        <w:rPr>
          <w:color w:val="1A1A1A"/>
          <w:sz w:val="22"/>
        </w:rPr>
        <w:t>biópsia.</w:t>
      </w:r>
      <w:r w:rsidRPr="00593855">
        <w:rPr>
          <w:b/>
          <w:color w:val="1A1A1A"/>
          <w:sz w:val="22"/>
        </w:rPr>
        <w:t>ENDOCRINOLOGIA</w:t>
      </w:r>
      <w:proofErr w:type="gramEnd"/>
      <w:r w:rsidRPr="00593855">
        <w:rPr>
          <w:b/>
          <w:color w:val="1A1A1A"/>
          <w:sz w:val="22"/>
        </w:rPr>
        <w:t xml:space="preserve"> DO ESPORTE</w:t>
      </w:r>
    </w:p>
    <w:p w:rsidR="000B5910" w:rsidRDefault="000B5910">
      <w:pPr>
        <w:pBdr>
          <w:bottom w:val="single" w:sz="4" w:space="2" w:color="808080"/>
        </w:pBdr>
        <w:spacing w:before="120" w:after="40"/>
      </w:pPr>
    </w:p>
    <w:p w:rsidR="000B5910" w:rsidRPr="00593855" w:rsidRDefault="00057F5C">
      <w:pPr>
        <w:spacing w:after="0" w:line="252" w:lineRule="auto"/>
        <w:rPr>
          <w:sz w:val="16"/>
          <w:szCs w:val="16"/>
        </w:rPr>
      </w:pPr>
      <w:r w:rsidRPr="00593855">
        <w:rPr>
          <w:color w:val="595959"/>
          <w:sz w:val="16"/>
          <w:szCs w:val="16"/>
          <w:vertAlign w:val="superscript"/>
        </w:rPr>
        <w:t>1</w:t>
      </w:r>
      <w:r w:rsidRPr="00593855">
        <w:rPr>
          <w:color w:val="595959"/>
          <w:sz w:val="16"/>
          <w:szCs w:val="16"/>
        </w:rPr>
        <w:t xml:space="preserve"> Pontifícia Universidade Católica do Rio Grande do Sul</w:t>
      </w:r>
    </w:p>
    <w:p w:rsidR="000B5910" w:rsidRDefault="000B5910">
      <w:pPr>
        <w:sectPr w:rsidR="000B5910">
          <w:headerReference w:type="default" r:id="rId139"/>
          <w:footerReference w:type="default" r:id="rId14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IMPLICAÇÕES CLÍNICAS RELACIONADAS AO ABUSO DE ESTEROIDES ANABOLIZANTES: UMA REVISÃO DE LITERATURA</w:t>
      </w:r>
    </w:p>
    <w:p w:rsidR="000B5910" w:rsidRPr="006D2F3F" w:rsidRDefault="00057F5C">
      <w:pPr>
        <w:spacing w:after="40" w:line="252" w:lineRule="auto"/>
        <w:jc w:val="right"/>
        <w:rPr>
          <w:szCs w:val="21"/>
        </w:rPr>
      </w:pPr>
      <w:r w:rsidRPr="006D2F3F">
        <w:rPr>
          <w:color w:val="1A1A1A"/>
          <w:szCs w:val="21"/>
        </w:rPr>
        <w:t>Mariella Gonçalves Schemmer</w:t>
      </w:r>
      <w:r w:rsidRPr="006D2F3F">
        <w:rPr>
          <w:color w:val="1A1A1A"/>
          <w:szCs w:val="21"/>
          <w:vertAlign w:val="superscript"/>
        </w:rPr>
        <w:t>1</w:t>
      </w:r>
      <w:r w:rsidRPr="006D2F3F">
        <w:rPr>
          <w:szCs w:val="21"/>
        </w:rPr>
        <w:br/>
      </w:r>
      <w:r w:rsidRPr="006D2F3F">
        <w:rPr>
          <w:color w:val="1A1A1A"/>
          <w:szCs w:val="21"/>
        </w:rPr>
        <w:t>Lucas do Amaral Gressler</w:t>
      </w:r>
      <w:r w:rsidRPr="006D2F3F">
        <w:rPr>
          <w:color w:val="1A1A1A"/>
          <w:szCs w:val="21"/>
          <w:vertAlign w:val="superscript"/>
        </w:rPr>
        <w:t>1</w:t>
      </w:r>
      <w:r w:rsidRPr="006D2F3F">
        <w:rPr>
          <w:szCs w:val="21"/>
        </w:rPr>
        <w:br/>
      </w:r>
      <w:r w:rsidRPr="006D2F3F">
        <w:rPr>
          <w:color w:val="1A1A1A"/>
          <w:szCs w:val="21"/>
        </w:rPr>
        <w:t>Gabriel Bertoncello Climaco</w:t>
      </w:r>
      <w:r w:rsidRPr="006D2F3F">
        <w:rPr>
          <w:color w:val="1A1A1A"/>
          <w:szCs w:val="21"/>
          <w:vertAlign w:val="superscript"/>
        </w:rPr>
        <w:t>1</w:t>
      </w:r>
      <w:r w:rsidRPr="006D2F3F">
        <w:rPr>
          <w:szCs w:val="21"/>
        </w:rPr>
        <w:br/>
      </w:r>
      <w:r w:rsidRPr="006D2F3F">
        <w:rPr>
          <w:color w:val="1A1A1A"/>
          <w:szCs w:val="21"/>
        </w:rPr>
        <w:t>Luiza Didone</w:t>
      </w:r>
      <w:r w:rsidRPr="006D2F3F">
        <w:rPr>
          <w:color w:val="1A1A1A"/>
          <w:szCs w:val="21"/>
          <w:vertAlign w:val="superscript"/>
        </w:rPr>
        <w:t>1</w:t>
      </w:r>
      <w:r w:rsidRPr="006D2F3F">
        <w:rPr>
          <w:szCs w:val="21"/>
        </w:rPr>
        <w:br/>
      </w:r>
      <w:r w:rsidRPr="006D2F3F">
        <w:rPr>
          <w:color w:val="1A1A1A"/>
          <w:szCs w:val="21"/>
        </w:rPr>
        <w:t>Rafaela Cougo Rios</w:t>
      </w:r>
      <w:r w:rsidRPr="006D2F3F">
        <w:rPr>
          <w:color w:val="1A1A1A"/>
          <w:szCs w:val="21"/>
          <w:vertAlign w:val="superscript"/>
        </w:rPr>
        <w:t>1</w:t>
      </w:r>
      <w:r w:rsidRPr="006D2F3F">
        <w:rPr>
          <w:szCs w:val="21"/>
        </w:rPr>
        <w:br/>
      </w:r>
      <w:r w:rsidRPr="006D2F3F">
        <w:rPr>
          <w:color w:val="1A1A1A"/>
          <w:szCs w:val="21"/>
        </w:rPr>
        <w:t>Vitor Dal Pai Ferrari</w:t>
      </w:r>
      <w:r w:rsidRPr="006D2F3F">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6D2F3F" w:rsidRDefault="00057F5C">
      <w:pPr>
        <w:spacing w:after="80" w:line="264" w:lineRule="auto"/>
        <w:jc w:val="both"/>
        <w:rPr>
          <w:sz w:val="22"/>
        </w:rPr>
      </w:pPr>
      <w:r w:rsidRPr="006D2F3F">
        <w:rPr>
          <w:b/>
          <w:color w:val="1A1A1A"/>
          <w:sz w:val="22"/>
        </w:rPr>
        <w:t>Introdução:</w:t>
      </w:r>
      <w:r w:rsidRPr="006D2F3F">
        <w:rPr>
          <w:color w:val="1A1A1A"/>
          <w:sz w:val="22"/>
        </w:rPr>
        <w:t xml:space="preserve"> Os esteroides anabolizantes ndrogénicos (EAA) são utilizados por atletas e indivíduos fisicamente ativos para melhorar o desempenho físico e para ganhos estéticos. O uso não terapêutico dessas substâncias tem sido associado a repercussões clínicas em múltiplos sistemas. Alterações cardiovasculares, endócrinas, reprodutivas e neuropsiquiátricas são frequentemente descritas na literatura. Diante da crescente prevalência do uso recreativo, torna-se relevante sintetizar evidências recentes sobre as implicações clínicas do abuso de EAA. </w:t>
      </w:r>
      <w:r w:rsidRPr="006D2F3F">
        <w:rPr>
          <w:b/>
          <w:color w:val="1A1A1A"/>
          <w:sz w:val="22"/>
        </w:rPr>
        <w:t>Objetivo:</w:t>
      </w:r>
      <w:r w:rsidRPr="006D2F3F">
        <w:rPr>
          <w:color w:val="1A1A1A"/>
          <w:sz w:val="22"/>
        </w:rPr>
        <w:t xml:space="preserve"> Analisar as principais implicações clínicas associadas ao abuso de esteroides anabolizantes em humanos. </w:t>
      </w:r>
      <w:r w:rsidRPr="006D2F3F">
        <w:rPr>
          <w:b/>
          <w:color w:val="1A1A1A"/>
          <w:sz w:val="22"/>
        </w:rPr>
        <w:t>Métodos:</w:t>
      </w:r>
      <w:r w:rsidRPr="006D2F3F">
        <w:rPr>
          <w:color w:val="1A1A1A"/>
          <w:sz w:val="22"/>
        </w:rPr>
        <w:t xml:space="preserve"> Revisão de literatura realizada na base PubMed. A busca utilizou descritores MeSH combinados por operadores booleanos: ("Anabolic Androgenic Steroids" OR "Anabolic Agents") AND ("Adverse Effects" OR toxicity) AND Humans. Foram incluídas publicações dos últimos cinco anos, revisões sistemáticas com meta-análise, estudos em humanos e artigos em inglês gratuitos. A busca identificou 14 artigos, dos quais 5 foram selecionados após leitura de títulos e resumos. Estudos sobre uso terapêutico ou sem discussão de implicações clínicas foram excluídos. </w:t>
      </w:r>
      <w:r w:rsidRPr="006D2F3F">
        <w:rPr>
          <w:b/>
          <w:color w:val="1A1A1A"/>
          <w:sz w:val="22"/>
        </w:rPr>
        <w:t>Resultados:</w:t>
      </w:r>
      <w:r w:rsidRPr="006D2F3F">
        <w:rPr>
          <w:color w:val="1A1A1A"/>
          <w:sz w:val="22"/>
        </w:rPr>
        <w:t xml:space="preserve"> Os estudos demonstraram associação entre abuso de EAA e alterações em múltiplos sistemas. No sistema cardiovascular foram descritas alterações estruturais cardíacas em atletas, incluindo aumento da massa ventricular esquerda, remodelamento cardíaco e possível comprometimento das funções sistólica e diastólica, associados a maior risco cardiovascular. Também foram relatadas alterações metabólicas, endócrinas, dermatológicas, hepáticas e psiquiátricas. No eixo hipotálamo-hipófise-gonadal observou-se supressão da produção endógena de testosterona, com hipogonadismo induzido por EAA, acompanhado por fadiga, redução da libido e disfunção erétil. No sistema reprodutivo masculino observou-se redução da concentração espermática e infertilidade temporária. </w:t>
      </w:r>
      <w:r w:rsidRPr="006D2F3F">
        <w:rPr>
          <w:b/>
          <w:color w:val="1A1A1A"/>
          <w:sz w:val="22"/>
        </w:rPr>
        <w:t>Conclusão:</w:t>
      </w:r>
      <w:r w:rsidRPr="006D2F3F">
        <w:rPr>
          <w:color w:val="1A1A1A"/>
          <w:sz w:val="22"/>
        </w:rPr>
        <w:t xml:space="preserve"> O abuso de EAA está associado a repercussões clínicas relevantes, especialmente cardiovasculares, endócrinas e reprodutivas. Evidências indicam remodelamento cardíaco potencialmente patológico, supressão do eixo hipotálamo-hipófise-gonadal e prejuízo da espermatogênese. Embora parte dessas alterações possa ser reversível após a suspensão, a recuperação pode ser prolongada. Esses achados reforçam a necessidade de maior conscientização sobre os riscos do uso não terapêutico dessas substâncias.</w:t>
      </w:r>
    </w:p>
    <w:p w:rsidR="000B5910" w:rsidRDefault="000B5910">
      <w:pPr>
        <w:pBdr>
          <w:bottom w:val="single" w:sz="4" w:space="2" w:color="808080"/>
        </w:pBdr>
        <w:spacing w:before="12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Franciscana (UFN</w:t>
      </w:r>
    </w:p>
    <w:p w:rsidR="000B5910" w:rsidRDefault="000B5910">
      <w:pPr>
        <w:sectPr w:rsidR="000B5910">
          <w:headerReference w:type="default" r:id="rId141"/>
          <w:footerReference w:type="default" r:id="rId14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CONHECIMENTO, PERCEPÇÃO DE RISCO E USO DE ESTEROIDES ANABOLIZANTES: ANÁLISE DE UMA PESQUISA DE OPINIÃO</w:t>
      </w:r>
    </w:p>
    <w:p w:rsidR="000B5910" w:rsidRPr="006D2F3F" w:rsidRDefault="00057F5C">
      <w:pPr>
        <w:spacing w:after="40" w:line="252" w:lineRule="auto"/>
        <w:jc w:val="right"/>
        <w:rPr>
          <w:szCs w:val="21"/>
        </w:rPr>
      </w:pPr>
      <w:r w:rsidRPr="006D2F3F">
        <w:rPr>
          <w:color w:val="1A1A1A"/>
          <w:szCs w:val="21"/>
        </w:rPr>
        <w:t>Maria Eduarda Veloso da Silva</w:t>
      </w:r>
      <w:r w:rsidRPr="006D2F3F">
        <w:rPr>
          <w:color w:val="1A1A1A"/>
          <w:szCs w:val="21"/>
          <w:vertAlign w:val="superscript"/>
        </w:rPr>
        <w:t>1</w:t>
      </w:r>
      <w:r w:rsidRPr="006D2F3F">
        <w:rPr>
          <w:szCs w:val="21"/>
        </w:rPr>
        <w:br/>
      </w:r>
      <w:r w:rsidRPr="006D2F3F">
        <w:rPr>
          <w:color w:val="1A1A1A"/>
          <w:szCs w:val="21"/>
        </w:rPr>
        <w:t>Lavínia Foresti Trentin</w:t>
      </w:r>
      <w:r w:rsidRPr="006D2F3F">
        <w:rPr>
          <w:color w:val="1A1A1A"/>
          <w:szCs w:val="21"/>
          <w:vertAlign w:val="superscript"/>
        </w:rPr>
        <w:t>1</w:t>
      </w:r>
      <w:r w:rsidRPr="006D2F3F">
        <w:rPr>
          <w:szCs w:val="21"/>
        </w:rPr>
        <w:br/>
      </w:r>
      <w:r w:rsidRPr="006D2F3F">
        <w:rPr>
          <w:color w:val="1A1A1A"/>
          <w:szCs w:val="21"/>
        </w:rPr>
        <w:t>Isadora de Abreu Brkanitch</w:t>
      </w:r>
      <w:r w:rsidRPr="006D2F3F">
        <w:rPr>
          <w:color w:val="1A1A1A"/>
          <w:szCs w:val="21"/>
          <w:vertAlign w:val="superscript"/>
        </w:rPr>
        <w:t>1</w:t>
      </w:r>
      <w:r w:rsidRPr="006D2F3F">
        <w:rPr>
          <w:szCs w:val="21"/>
        </w:rPr>
        <w:br/>
      </w:r>
      <w:r w:rsidRPr="006D2F3F">
        <w:rPr>
          <w:color w:val="1A1A1A"/>
          <w:szCs w:val="21"/>
        </w:rPr>
        <w:t>Camila dos Santos Azeredo</w:t>
      </w:r>
      <w:r w:rsidRPr="006D2F3F">
        <w:rPr>
          <w:color w:val="1A1A1A"/>
          <w:szCs w:val="21"/>
          <w:vertAlign w:val="superscript"/>
        </w:rPr>
        <w:t>1</w:t>
      </w:r>
      <w:r w:rsidRPr="006D2F3F">
        <w:rPr>
          <w:szCs w:val="21"/>
        </w:rPr>
        <w:br/>
      </w:r>
      <w:r w:rsidRPr="006D2F3F">
        <w:rPr>
          <w:color w:val="1A1A1A"/>
          <w:szCs w:val="21"/>
        </w:rPr>
        <w:t>Maurício Pedrotti Barazzetti</w:t>
      </w:r>
      <w:r w:rsidRPr="006D2F3F">
        <w:rPr>
          <w:color w:val="1A1A1A"/>
          <w:szCs w:val="21"/>
          <w:vertAlign w:val="superscript"/>
        </w:rPr>
        <w:t>1</w:t>
      </w:r>
      <w:r w:rsidRPr="006D2F3F">
        <w:rPr>
          <w:szCs w:val="21"/>
        </w:rPr>
        <w:br/>
      </w:r>
      <w:r w:rsidRPr="006D2F3F">
        <w:rPr>
          <w:color w:val="1A1A1A"/>
          <w:szCs w:val="21"/>
        </w:rPr>
        <w:t>Daniela Bertol Graeff</w:t>
      </w:r>
      <w:r w:rsidRPr="006D2F3F">
        <w:rPr>
          <w:color w:val="1A1A1A"/>
          <w:szCs w:val="21"/>
          <w:vertAlign w:val="superscript"/>
        </w:rPr>
        <w:t>1</w:t>
      </w:r>
      <w:r w:rsidRPr="006D2F3F">
        <w:rPr>
          <w:szCs w:val="21"/>
        </w:rPr>
        <w:br/>
      </w:r>
      <w:r w:rsidRPr="006D2F3F">
        <w:rPr>
          <w:color w:val="1A1A1A"/>
          <w:szCs w:val="21"/>
        </w:rPr>
        <w:t>Georgia Chichelero</w:t>
      </w:r>
      <w:r w:rsidRPr="006D2F3F">
        <w:rPr>
          <w:color w:val="1A1A1A"/>
          <w:szCs w:val="21"/>
          <w:vertAlign w:val="superscript"/>
        </w:rPr>
        <w:t>1</w:t>
      </w:r>
    </w:p>
    <w:p w:rsidR="000B5910" w:rsidRDefault="00057F5C">
      <w:pPr>
        <w:spacing w:before="240" w:after="100"/>
      </w:pPr>
      <w:r>
        <w:rPr>
          <w:b/>
          <w:color w:val="1A1A1A"/>
          <w:sz w:val="22"/>
        </w:rPr>
        <w:t>RESUMO</w:t>
      </w:r>
    </w:p>
    <w:p w:rsidR="000B5910" w:rsidRPr="006D2F3F" w:rsidRDefault="00057F5C">
      <w:pPr>
        <w:spacing w:after="80"/>
        <w:jc w:val="both"/>
        <w:rPr>
          <w:sz w:val="22"/>
        </w:rPr>
      </w:pPr>
      <w:r w:rsidRPr="006D2F3F">
        <w:rPr>
          <w:b/>
          <w:color w:val="1A1A1A"/>
          <w:sz w:val="22"/>
        </w:rPr>
        <w:t>Introdução:</w:t>
      </w:r>
      <w:r w:rsidRPr="006D2F3F">
        <w:rPr>
          <w:color w:val="1A1A1A"/>
          <w:sz w:val="22"/>
        </w:rPr>
        <w:t xml:space="preserve"> O uso de esteróides anabolizantes androgênicos (EAA) está associado ao aumento da morbimortalidade e diversas complicações, sendo o seu uso indevido um problema de saúde pública. Estudos mostram que, especialmente em jovens e praticantes de atividades físicas, o conhecimento sobre seus efeitos adversos é limitado e que, na maioria das vezes, a consciência de riscos não impede seu uso, reforçando </w:t>
      </w:r>
      <w:proofErr w:type="gramStart"/>
      <w:r w:rsidRPr="006D2F3F">
        <w:rPr>
          <w:color w:val="1A1A1A"/>
          <w:sz w:val="22"/>
        </w:rPr>
        <w:t>a</w:t>
      </w:r>
      <w:proofErr w:type="gramEnd"/>
      <w:r w:rsidRPr="006D2F3F">
        <w:rPr>
          <w:color w:val="1A1A1A"/>
          <w:sz w:val="22"/>
        </w:rPr>
        <w:t xml:space="preserve"> influência de fatores sociais e culturais. </w:t>
      </w:r>
      <w:r w:rsidRPr="006D2F3F">
        <w:rPr>
          <w:b/>
          <w:color w:val="1A1A1A"/>
          <w:sz w:val="22"/>
        </w:rPr>
        <w:t>Objetivo:</w:t>
      </w:r>
      <w:r w:rsidRPr="006D2F3F">
        <w:rPr>
          <w:color w:val="1A1A1A"/>
          <w:sz w:val="22"/>
        </w:rPr>
        <w:t xml:space="preserve"> Analisar o conhecimento do uso de EAA na população. </w:t>
      </w:r>
      <w:r w:rsidRPr="006D2F3F">
        <w:rPr>
          <w:b/>
          <w:color w:val="1A1A1A"/>
          <w:sz w:val="22"/>
        </w:rPr>
        <w:t>Métodos:</w:t>
      </w:r>
      <w:r w:rsidRPr="006D2F3F">
        <w:rPr>
          <w:color w:val="1A1A1A"/>
          <w:sz w:val="22"/>
        </w:rPr>
        <w:t xml:space="preserve"> Pesquisa de opinião conduzida por questionário on-line autoaplicável, divulgado via aplicativos de mensagens, com participação voluntária e anônima, com coleta entre os dias 5 a 12 de março de 2026 com foco na população urbana da cidade de Passo Fundo- RS. Conforme a Resolução nº 510/2016 do Conselho Nacional de Saúde, o estudo dispensa apreciação por Comitê de Ética em Pesquisa. </w:t>
      </w:r>
      <w:proofErr w:type="gramStart"/>
      <w:r w:rsidRPr="006D2F3F">
        <w:rPr>
          <w:color w:val="1A1A1A"/>
          <w:sz w:val="22"/>
        </w:rPr>
        <w:t>A</w:t>
      </w:r>
      <w:proofErr w:type="gramEnd"/>
      <w:r w:rsidRPr="006D2F3F">
        <w:rPr>
          <w:color w:val="1A1A1A"/>
          <w:sz w:val="22"/>
        </w:rPr>
        <w:t xml:space="preserve"> análise dos dados foi realizada no software SPSS versão 24.0, com uso de Propensity Score Matching (PSM). </w:t>
      </w:r>
      <w:r w:rsidRPr="006D2F3F">
        <w:rPr>
          <w:b/>
          <w:color w:val="1A1A1A"/>
          <w:sz w:val="22"/>
        </w:rPr>
        <w:t>Resultados:</w:t>
      </w:r>
      <w:r w:rsidRPr="006D2F3F">
        <w:rPr>
          <w:color w:val="1A1A1A"/>
          <w:sz w:val="22"/>
        </w:rPr>
        <w:t xml:space="preserve"> Foram incluídas 148 respostas válidas. Predominaram participantes do sexo feminino (61,5%), com ensino superior incompleto (49,3%) e formação em instituições privadas (70,9%). A maioria (98,6%) relatou conhecimento prévio sobre EAA, principalmente por meio da internet (27,6%) e círculo social (20,9%). O uso prévio foi referido por 6,1%, sendo que 3,4% mantinham uso atual. Além disso, 78,2% conheciam usuários de EAA e 21% já consideraram seu uso. </w:t>
      </w:r>
      <w:proofErr w:type="gramStart"/>
      <w:r w:rsidRPr="006D2F3F">
        <w:rPr>
          <w:color w:val="1A1A1A"/>
          <w:sz w:val="22"/>
        </w:rPr>
        <w:t>A</w:t>
      </w:r>
      <w:proofErr w:type="gramEnd"/>
      <w:r w:rsidRPr="006D2F3F">
        <w:rPr>
          <w:color w:val="1A1A1A"/>
          <w:sz w:val="22"/>
        </w:rPr>
        <w:t xml:space="preserve"> autopercepção de conhecimento foi predominantemente intermediária (44,1%), enquanto 80,1% classificaram o uso como de alto risco. A maioria identificou potencial efeito adverso relacionado ao seu uso e 79,1% destacou a necessidade de maior abordagem do tema na formação em saúde. </w:t>
      </w:r>
      <w:r w:rsidRPr="006D2F3F">
        <w:rPr>
          <w:b/>
          <w:color w:val="1A1A1A"/>
          <w:sz w:val="22"/>
        </w:rPr>
        <w:t>Conclusão:</w:t>
      </w:r>
      <w:r w:rsidRPr="006D2F3F">
        <w:rPr>
          <w:color w:val="1A1A1A"/>
          <w:sz w:val="22"/>
        </w:rPr>
        <w:t xml:space="preserve"> A pesquisa de opinião ofereceu uma visão inicial do conhecimento sobre EAA, evidenciando que, apesar do reconhecimento dos riscos, persiste uma lacuna entre conhecimento e comportamento. </w:t>
      </w:r>
      <w:proofErr w:type="gramStart"/>
      <w:r w:rsidRPr="006D2F3F">
        <w:rPr>
          <w:color w:val="1A1A1A"/>
          <w:sz w:val="22"/>
        </w:rPr>
        <w:t>A</w:t>
      </w:r>
      <w:proofErr w:type="gramEnd"/>
      <w:r w:rsidRPr="006D2F3F">
        <w:rPr>
          <w:color w:val="1A1A1A"/>
          <w:sz w:val="22"/>
        </w:rPr>
        <w:t xml:space="preserve"> informação isolada não é suficiente para inibir o uso ou interesse, possivelmente influenciados por fatores socioculturais, destacando a necessidade de estratégias educativas mais efetivas e de maior orientação da população quanto aos riscos do seu uso.</w:t>
      </w:r>
    </w:p>
    <w:p w:rsidR="000B5910" w:rsidRDefault="000B5910">
      <w:pPr>
        <w:pBdr>
          <w:bottom w:val="single" w:sz="4" w:space="2" w:color="808080"/>
        </w:pBdr>
        <w:spacing w:before="16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de Passo Fundo, Passo Fundo, Brasil</w:t>
      </w:r>
    </w:p>
    <w:p w:rsidR="000B5910" w:rsidRDefault="000B5910">
      <w:pPr>
        <w:sectPr w:rsidR="000B5910">
          <w:headerReference w:type="default" r:id="rId143"/>
          <w:footerReference w:type="default" r:id="rId14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MODULADORES METABÓLICOS NO DESEMPENHO ESPORTIVO: NOVA FRONTEIRA ENTRE A TERAPÊUTICA CLÍNICA E O POTENCIAL ERGOGÊNICO</w:t>
      </w:r>
    </w:p>
    <w:p w:rsidR="000B5910" w:rsidRPr="006D2F3F" w:rsidRDefault="00057F5C">
      <w:pPr>
        <w:spacing w:after="40" w:line="252" w:lineRule="auto"/>
        <w:jc w:val="right"/>
        <w:rPr>
          <w:szCs w:val="21"/>
        </w:rPr>
      </w:pPr>
      <w:r w:rsidRPr="006D2F3F">
        <w:rPr>
          <w:color w:val="1A1A1A"/>
          <w:szCs w:val="21"/>
        </w:rPr>
        <w:t>Gabriela Cecília Echart</w:t>
      </w:r>
      <w:r w:rsidRPr="006D2F3F">
        <w:rPr>
          <w:color w:val="1A1A1A"/>
          <w:szCs w:val="21"/>
          <w:vertAlign w:val="superscript"/>
        </w:rPr>
        <w:t>1</w:t>
      </w:r>
      <w:r w:rsidRPr="006D2F3F">
        <w:rPr>
          <w:szCs w:val="21"/>
        </w:rPr>
        <w:br/>
      </w:r>
      <w:r w:rsidRPr="006D2F3F">
        <w:rPr>
          <w:color w:val="1A1A1A"/>
          <w:szCs w:val="21"/>
        </w:rPr>
        <w:t>Jacqueline Sallete Dei Svaldi</w:t>
      </w:r>
      <w:r w:rsidRPr="006D2F3F">
        <w:rPr>
          <w:color w:val="1A1A1A"/>
          <w:szCs w:val="21"/>
          <w:vertAlign w:val="superscript"/>
        </w:rPr>
        <w:t>2</w:t>
      </w:r>
    </w:p>
    <w:p w:rsidR="000B5910" w:rsidRDefault="00057F5C">
      <w:pPr>
        <w:spacing w:before="240" w:after="100"/>
      </w:pPr>
      <w:r>
        <w:rPr>
          <w:b/>
          <w:color w:val="1A1A1A"/>
          <w:sz w:val="22"/>
        </w:rPr>
        <w:t>RESUMO</w:t>
      </w:r>
    </w:p>
    <w:p w:rsidR="000B5910" w:rsidRPr="006D2F3F" w:rsidRDefault="00057F5C">
      <w:pPr>
        <w:spacing w:after="80"/>
        <w:jc w:val="both"/>
        <w:rPr>
          <w:sz w:val="22"/>
        </w:rPr>
      </w:pPr>
      <w:r w:rsidRPr="006D2F3F">
        <w:rPr>
          <w:b/>
          <w:color w:val="1A1A1A"/>
          <w:sz w:val="22"/>
        </w:rPr>
        <w:t xml:space="preserve">Introdução: </w:t>
      </w:r>
      <w:r w:rsidRPr="006D2F3F">
        <w:rPr>
          <w:color w:val="1A1A1A"/>
          <w:sz w:val="22"/>
        </w:rPr>
        <w:t xml:space="preserve">A incorporação de moduladores metabólicos, como agonistas do receptor de GLP-1, inibidores de SGLT2 e metformina, tem extrapolado o tratamento de doenças metabólicas, alcançando indivíduos fisicamente ativos. Seus efeitos sobre composição corporal, inflamação sistêmica e metabolismo energético sugerem potencial influência no desempenho físico, ampliando </w:t>
      </w:r>
      <w:proofErr w:type="gramStart"/>
      <w:r w:rsidRPr="006D2F3F">
        <w:rPr>
          <w:color w:val="1A1A1A"/>
          <w:sz w:val="22"/>
        </w:rPr>
        <w:t>a</w:t>
      </w:r>
      <w:proofErr w:type="gramEnd"/>
      <w:r w:rsidRPr="006D2F3F">
        <w:rPr>
          <w:color w:val="1A1A1A"/>
          <w:sz w:val="22"/>
        </w:rPr>
        <w:t xml:space="preserve"> interface entre Endocrinologia e Medicina do Esporte. </w:t>
      </w:r>
      <w:r w:rsidRPr="006D2F3F">
        <w:rPr>
          <w:b/>
          <w:color w:val="1A1A1A"/>
          <w:sz w:val="22"/>
        </w:rPr>
        <w:t xml:space="preserve">Objetivo: </w:t>
      </w:r>
      <w:r w:rsidRPr="006D2F3F">
        <w:rPr>
          <w:color w:val="1A1A1A"/>
          <w:sz w:val="22"/>
        </w:rPr>
        <w:t xml:space="preserve">Analisar criticamente o impacto dos moduladores metabólicos na regulação endócrino-metabólica e suas possíveis implicações ergogênicas em indivíduos fisicamente ativos. </w:t>
      </w:r>
      <w:r w:rsidRPr="006D2F3F">
        <w:rPr>
          <w:b/>
          <w:color w:val="1A1A1A"/>
          <w:sz w:val="22"/>
        </w:rPr>
        <w:t xml:space="preserve">Métodos: </w:t>
      </w:r>
      <w:r w:rsidRPr="006D2F3F">
        <w:rPr>
          <w:color w:val="1A1A1A"/>
          <w:sz w:val="22"/>
        </w:rPr>
        <w:t xml:space="preserve">Revisão integrativa da literatura realizada nas bases PubMed e UpToDate, incluindo estudos publicados entre janeiro de 2016 e fevereiro de 2026. Utilizaram-se os descritores “GLP-1 receptor agonists”, “SGLT2 inhibitors”, “metformin”, “exercise”, “sports performance” e “energy metabolism”, combinados por operadores booleanos AND/OR. </w:t>
      </w:r>
      <w:r w:rsidRPr="006D2F3F">
        <w:rPr>
          <w:b/>
          <w:color w:val="1A1A1A"/>
          <w:sz w:val="22"/>
        </w:rPr>
        <w:t xml:space="preserve">Resultados: </w:t>
      </w:r>
      <w:r w:rsidRPr="006D2F3F">
        <w:rPr>
          <w:color w:val="1A1A1A"/>
          <w:sz w:val="22"/>
        </w:rPr>
        <w:t xml:space="preserve">Foram identificados 186 estudos, dos quais 132 foram excluídos após triagem de títulos e resumos. Dos 54 artigos avaliados na íntegra, 21 foram excluídos por ausência de desfechos relevantes ou limitações metodológicas, resultando em 33 estudos incluídos para análise qualitativa. Agonistas do GLP-1 promovem redução da massa adiposa e da inflamação sistêmica, com possível melhora da eficiência metabólica, embora associados a risco de perda de massa magra. Inibidores de SGLT2 induzem alterações no metabolismo energético, com cetogênese leve e maior utilização de lipídios, potencialmente favoráveis em exercícios de endurance. A metformina apresenta efeitos heterogêneos, podendo atenuar adaptações mitocondriais ao exercício. </w:t>
      </w:r>
      <w:proofErr w:type="gramStart"/>
      <w:r w:rsidRPr="006D2F3F">
        <w:rPr>
          <w:color w:val="1A1A1A"/>
          <w:sz w:val="22"/>
        </w:rPr>
        <w:t>A</w:t>
      </w:r>
      <w:proofErr w:type="gramEnd"/>
      <w:r w:rsidRPr="006D2F3F">
        <w:rPr>
          <w:color w:val="1A1A1A"/>
          <w:sz w:val="22"/>
        </w:rPr>
        <w:t xml:space="preserve"> evidência disponível em atletas permanece limitada e heterogênea. Moduladores metabólicos emergem como potenciais influenciadores do desempenho físico, extrapolando seu papel terapêutico tradicional. </w:t>
      </w:r>
      <w:r w:rsidRPr="006D2F3F">
        <w:rPr>
          <w:b/>
          <w:color w:val="1A1A1A"/>
          <w:sz w:val="22"/>
        </w:rPr>
        <w:t xml:space="preserve">Conclusão: </w:t>
      </w:r>
      <w:r w:rsidRPr="006D2F3F">
        <w:rPr>
          <w:color w:val="1A1A1A"/>
          <w:sz w:val="22"/>
        </w:rPr>
        <w:t xml:space="preserve">A ausência de diretrizes específicas e </w:t>
      </w:r>
      <w:proofErr w:type="gramStart"/>
      <w:r w:rsidRPr="006D2F3F">
        <w:rPr>
          <w:color w:val="1A1A1A"/>
          <w:sz w:val="22"/>
        </w:rPr>
        <w:t>a</w:t>
      </w:r>
      <w:proofErr w:type="gramEnd"/>
      <w:r w:rsidRPr="006D2F3F">
        <w:rPr>
          <w:color w:val="1A1A1A"/>
          <w:sz w:val="22"/>
        </w:rPr>
        <w:t xml:space="preserve"> escassez de evidências em populações atléticas evidenciam uma lacuna relevante. Nesse contexto, delineia-se uma zona cinzenta entre intervenção terapêutica e otimização de performance, sugerindo a hipótese de uma nova fronteira na prática </w:t>
      </w:r>
      <w:proofErr w:type="gramStart"/>
      <w:r w:rsidRPr="006D2F3F">
        <w:rPr>
          <w:color w:val="1A1A1A"/>
          <w:sz w:val="22"/>
        </w:rPr>
        <w:t>clínica.</w:t>
      </w:r>
      <w:r w:rsidRPr="006D2F3F">
        <w:rPr>
          <w:b/>
          <w:color w:val="1A1A1A"/>
          <w:sz w:val="22"/>
        </w:rPr>
        <w:t>ENDOCRINOLOGIA</w:t>
      </w:r>
      <w:proofErr w:type="gramEnd"/>
      <w:r w:rsidRPr="006D2F3F">
        <w:rPr>
          <w:b/>
          <w:color w:val="1A1A1A"/>
          <w:sz w:val="22"/>
        </w:rPr>
        <w:t xml:space="preserve"> FEMININA E ANDROLOGIA </w:t>
      </w:r>
    </w:p>
    <w:p w:rsidR="000B5910" w:rsidRDefault="000B5910">
      <w:pPr>
        <w:pBdr>
          <w:bottom w:val="single" w:sz="4" w:space="2" w:color="808080"/>
        </w:pBdr>
        <w:spacing w:before="16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Católica de Pelotas (UCPel</w:t>
      </w:r>
    </w:p>
    <w:p w:rsidR="000B5910" w:rsidRPr="006D2F3F" w:rsidRDefault="00057F5C">
      <w:pPr>
        <w:spacing w:after="0" w:line="252" w:lineRule="auto"/>
        <w:rPr>
          <w:sz w:val="16"/>
          <w:szCs w:val="16"/>
        </w:rPr>
      </w:pPr>
      <w:r w:rsidRPr="006D2F3F">
        <w:rPr>
          <w:color w:val="595959"/>
          <w:sz w:val="16"/>
          <w:szCs w:val="16"/>
          <w:vertAlign w:val="superscript"/>
        </w:rPr>
        <w:t>2</w:t>
      </w:r>
      <w:r w:rsidRPr="006D2F3F">
        <w:rPr>
          <w:color w:val="595959"/>
          <w:sz w:val="16"/>
          <w:szCs w:val="16"/>
        </w:rPr>
        <w:t xml:space="preserve"> Universidade Federal do Rio Grande (FURG</w:t>
      </w:r>
    </w:p>
    <w:p w:rsidR="000B5910" w:rsidRDefault="000B5910">
      <w:pPr>
        <w:sectPr w:rsidR="000B5910">
          <w:headerReference w:type="default" r:id="rId145"/>
          <w:footerReference w:type="default" r:id="rId14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INTERAÇÃO FARMACOLÓGICO-CLÍNICA DOS ANÁLOGOS DO RECEPTOR GLP-1/GIP COM OS CONTRACEPTIVOS ORAIS:</w:t>
      </w:r>
      <w:r w:rsidR="0064145B">
        <w:rPr>
          <w:b/>
          <w:color w:val="1A1A1A"/>
          <w:sz w:val="28"/>
          <w:szCs w:val="24"/>
        </w:rPr>
        <w:t xml:space="preserve"> </w:t>
      </w:r>
      <w:r>
        <w:rPr>
          <w:b/>
          <w:color w:val="1A1A1A"/>
          <w:sz w:val="28"/>
          <w:szCs w:val="24"/>
        </w:rPr>
        <w:t>UMA REVISÃO SISTEMÁTICA</w:t>
      </w:r>
    </w:p>
    <w:p w:rsidR="000B5910" w:rsidRPr="006D2F3F" w:rsidRDefault="00057F5C">
      <w:pPr>
        <w:spacing w:after="40" w:line="252" w:lineRule="auto"/>
        <w:jc w:val="right"/>
        <w:rPr>
          <w:szCs w:val="21"/>
        </w:rPr>
      </w:pPr>
      <w:r w:rsidRPr="006D2F3F">
        <w:rPr>
          <w:color w:val="1A1A1A"/>
          <w:szCs w:val="21"/>
        </w:rPr>
        <w:t>Júlia Luísa Mosena</w:t>
      </w:r>
      <w:r w:rsidRPr="006D2F3F">
        <w:rPr>
          <w:color w:val="1A1A1A"/>
          <w:szCs w:val="21"/>
          <w:vertAlign w:val="superscript"/>
        </w:rPr>
        <w:t>1</w:t>
      </w:r>
      <w:r w:rsidRPr="006D2F3F">
        <w:rPr>
          <w:szCs w:val="21"/>
        </w:rPr>
        <w:br/>
      </w:r>
      <w:r w:rsidRPr="006D2F3F">
        <w:rPr>
          <w:color w:val="1A1A1A"/>
          <w:szCs w:val="21"/>
        </w:rPr>
        <w:t>Jaqueline Neves Lubianca</w:t>
      </w:r>
      <w:r w:rsidRPr="006D2F3F">
        <w:rPr>
          <w:color w:val="1A1A1A"/>
          <w:szCs w:val="21"/>
          <w:vertAlign w:val="superscript"/>
        </w:rPr>
        <w:t>1</w:t>
      </w:r>
      <w:r w:rsidRPr="006D2F3F">
        <w:rPr>
          <w:szCs w:val="21"/>
        </w:rPr>
        <w:br/>
      </w:r>
      <w:r w:rsidRPr="006D2F3F">
        <w:rPr>
          <w:color w:val="1A1A1A"/>
          <w:szCs w:val="21"/>
        </w:rPr>
        <w:t>Beatriz de Carvalho Mamede</w:t>
      </w:r>
      <w:r w:rsidRPr="006D2F3F">
        <w:rPr>
          <w:color w:val="1A1A1A"/>
          <w:szCs w:val="21"/>
          <w:vertAlign w:val="superscript"/>
        </w:rPr>
        <w:t>1</w:t>
      </w:r>
      <w:r w:rsidRPr="006D2F3F">
        <w:rPr>
          <w:szCs w:val="21"/>
        </w:rPr>
        <w:br/>
      </w:r>
      <w:r w:rsidRPr="006D2F3F">
        <w:rPr>
          <w:color w:val="1A1A1A"/>
          <w:szCs w:val="21"/>
        </w:rPr>
        <w:t>Carla Nunes Franco Reis</w:t>
      </w:r>
      <w:r w:rsidRPr="006D2F3F">
        <w:rPr>
          <w:color w:val="1A1A1A"/>
          <w:szCs w:val="21"/>
          <w:vertAlign w:val="superscript"/>
        </w:rPr>
        <w:t>1</w:t>
      </w:r>
      <w:r w:rsidRPr="006D2F3F">
        <w:rPr>
          <w:szCs w:val="21"/>
        </w:rPr>
        <w:br/>
      </w:r>
      <w:r w:rsidRPr="006D2F3F">
        <w:rPr>
          <w:color w:val="1A1A1A"/>
          <w:szCs w:val="21"/>
        </w:rPr>
        <w:t>Carolina Neves Garcia</w:t>
      </w:r>
      <w:r w:rsidRPr="006D2F3F">
        <w:rPr>
          <w:color w:val="1A1A1A"/>
          <w:szCs w:val="21"/>
          <w:vertAlign w:val="superscript"/>
        </w:rPr>
        <w:t>1</w:t>
      </w:r>
      <w:r w:rsidRPr="006D2F3F">
        <w:rPr>
          <w:szCs w:val="21"/>
        </w:rPr>
        <w:br/>
      </w:r>
      <w:r w:rsidRPr="006D2F3F">
        <w:rPr>
          <w:color w:val="1A1A1A"/>
          <w:szCs w:val="21"/>
        </w:rPr>
        <w:t>Erica Mannrich Brandalise</w:t>
      </w:r>
      <w:r w:rsidRPr="006D2F3F">
        <w:rPr>
          <w:color w:val="1A1A1A"/>
          <w:szCs w:val="21"/>
          <w:vertAlign w:val="superscript"/>
        </w:rPr>
        <w:t>1</w:t>
      </w:r>
      <w:r w:rsidRPr="006D2F3F">
        <w:rPr>
          <w:szCs w:val="21"/>
        </w:rPr>
        <w:br/>
      </w:r>
      <w:r w:rsidRPr="006D2F3F">
        <w:rPr>
          <w:color w:val="1A1A1A"/>
          <w:szCs w:val="21"/>
        </w:rPr>
        <w:t>Helena Calegaro Beheregaray</w:t>
      </w:r>
      <w:r w:rsidRPr="006D2F3F">
        <w:rPr>
          <w:color w:val="1A1A1A"/>
          <w:szCs w:val="21"/>
          <w:vertAlign w:val="superscript"/>
        </w:rPr>
        <w:t>1</w:t>
      </w:r>
      <w:r w:rsidRPr="006D2F3F">
        <w:rPr>
          <w:szCs w:val="21"/>
        </w:rPr>
        <w:br/>
      </w:r>
      <w:r w:rsidRPr="006D2F3F">
        <w:rPr>
          <w:color w:val="1A1A1A"/>
          <w:szCs w:val="21"/>
        </w:rPr>
        <w:t>Isabelly Rodrigues de Souza</w:t>
      </w:r>
      <w:r w:rsidRPr="006D2F3F">
        <w:rPr>
          <w:color w:val="1A1A1A"/>
          <w:szCs w:val="21"/>
          <w:vertAlign w:val="superscript"/>
        </w:rPr>
        <w:t>1</w:t>
      </w:r>
      <w:r w:rsidRPr="006D2F3F">
        <w:rPr>
          <w:szCs w:val="21"/>
        </w:rPr>
        <w:br/>
      </w:r>
      <w:r w:rsidRPr="006D2F3F">
        <w:rPr>
          <w:color w:val="1A1A1A"/>
          <w:szCs w:val="21"/>
        </w:rPr>
        <w:t>Maisa Maria Lyra Cajueiro Bueno Brandão</w:t>
      </w:r>
      <w:r w:rsidRPr="006D2F3F">
        <w:rPr>
          <w:color w:val="1A1A1A"/>
          <w:szCs w:val="21"/>
          <w:vertAlign w:val="superscript"/>
        </w:rPr>
        <w:t>1</w:t>
      </w:r>
      <w:r w:rsidRPr="006D2F3F">
        <w:rPr>
          <w:szCs w:val="21"/>
        </w:rPr>
        <w:br/>
      </w:r>
      <w:r w:rsidRPr="006D2F3F">
        <w:rPr>
          <w:color w:val="1A1A1A"/>
          <w:szCs w:val="21"/>
        </w:rPr>
        <w:t>Renata Nunes de Almeida</w:t>
      </w:r>
      <w:r w:rsidRPr="006D2F3F">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6D2F3F" w:rsidRDefault="00057F5C">
      <w:pPr>
        <w:spacing w:after="80" w:line="264" w:lineRule="auto"/>
        <w:jc w:val="both"/>
        <w:rPr>
          <w:sz w:val="22"/>
        </w:rPr>
      </w:pPr>
      <w:r w:rsidRPr="006D2F3F">
        <w:rPr>
          <w:b/>
          <w:color w:val="1A1A1A"/>
          <w:sz w:val="22"/>
        </w:rPr>
        <w:t xml:space="preserve">Introdução: </w:t>
      </w:r>
      <w:r w:rsidRPr="006D2F3F">
        <w:rPr>
          <w:color w:val="1A1A1A"/>
          <w:sz w:val="22"/>
        </w:rPr>
        <w:t xml:space="preserve">A obesidade, altamente prevalente no Brasil, especialmente entre mulheres, representa importante problema de saúde pública. Nesse contexto, agonistas do receptor de GLP-1 e agonistas duais GLP-1/GIP surgem como terapias eficazes para controle metabólico e perda de peso. Paralelamente, os contraceptivos orais permanecem o método contraceptivo mais utilizado entre mulheres em idade reprodutiva. Diante do uso crescente dessas terapias, torna-se relevante compreender possíveis interferências na eficácia contraceptiva. </w:t>
      </w:r>
      <w:r w:rsidRPr="006D2F3F">
        <w:rPr>
          <w:b/>
          <w:color w:val="1A1A1A"/>
          <w:sz w:val="22"/>
        </w:rPr>
        <w:t xml:space="preserve">Objetivo: </w:t>
      </w:r>
      <w:r w:rsidRPr="006D2F3F">
        <w:rPr>
          <w:color w:val="1A1A1A"/>
          <w:sz w:val="22"/>
        </w:rPr>
        <w:t xml:space="preserve">Sintetizar evidências sobre interações entre agonistas do receptor de GLP-1 e agonistas duais GLP-1/GIP e contraceptivos hormonais orais, avaliando potenciais efeitos farmacocinéticos capazes de impactar </w:t>
      </w:r>
      <w:proofErr w:type="gramStart"/>
      <w:r w:rsidRPr="006D2F3F">
        <w:rPr>
          <w:color w:val="1A1A1A"/>
          <w:sz w:val="22"/>
        </w:rPr>
        <w:t>a</w:t>
      </w:r>
      <w:proofErr w:type="gramEnd"/>
      <w:r w:rsidRPr="006D2F3F">
        <w:rPr>
          <w:color w:val="1A1A1A"/>
          <w:sz w:val="22"/>
        </w:rPr>
        <w:t xml:space="preserve"> eficácia contraceptiva. </w:t>
      </w:r>
      <w:r w:rsidRPr="006D2F3F">
        <w:rPr>
          <w:b/>
          <w:color w:val="1A1A1A"/>
          <w:sz w:val="22"/>
        </w:rPr>
        <w:t xml:space="preserve">Métodos: </w:t>
      </w:r>
      <w:r w:rsidRPr="006D2F3F">
        <w:rPr>
          <w:color w:val="1A1A1A"/>
          <w:sz w:val="22"/>
        </w:rPr>
        <w:t xml:space="preserve">Revisão conduzida conforme diretrizes PRISMA. As buscas foram realizadas nas bases PubMed, Embase, Cochrane Library, LILACS, SciELO e Google Scholar, incluindo ensaios clínicos, estudos observacionais e revisões sistemáticas publicados a partir de 2020. Foram elegíveis estudos que investigassem interação, eficácia ou segurança do uso concomitante em mulheres em idade reprodutiva. Excluíram-se estudos pré-clínicos, populações não humanas e pesquisas sobre contraceptivos não orais. Seis estudos foram incluídos. </w:t>
      </w:r>
      <w:r w:rsidRPr="006D2F3F">
        <w:rPr>
          <w:b/>
          <w:color w:val="1A1A1A"/>
          <w:sz w:val="22"/>
        </w:rPr>
        <w:t xml:space="preserve">Resultados: </w:t>
      </w:r>
      <w:r w:rsidRPr="006D2F3F">
        <w:rPr>
          <w:color w:val="1A1A1A"/>
          <w:sz w:val="22"/>
        </w:rPr>
        <w:t xml:space="preserve">Os estudos apontaram como principal mecanismo de interação o retardo do esvaziamento gástrico, que reduz a Cmáx e prolonga o Tmáx dos contraceptivos orais, sem alteração relevante da AUC para a maioria dos agonistas de GLP-1. Liraglutida, dulaglutida, semaglutida e exenatida apresentaram alterações discretas, sem impacto clínico comprovado na eficácia contraceptiva. A tirzepatida destacou-se por reduções significativas da Cmáx (55–66%) e moderadas da AUC (20–23%), com atraso de até 4,5 horas no Tmáx, justificando recomendação de método contraceptivo adicional ou temporária substituição por métodos não orais nas quatro semanas após início ou ajuste de dose. Esses fármacos também promovem perda ponderal e melhora metabólica, podendo aumentar a fertilidade em mulheres com síndrome dos ovários policísticos. </w:t>
      </w:r>
      <w:r w:rsidRPr="006D2F3F">
        <w:rPr>
          <w:b/>
          <w:color w:val="1A1A1A"/>
          <w:sz w:val="22"/>
        </w:rPr>
        <w:t xml:space="preserve">Conclusão: </w:t>
      </w:r>
      <w:r w:rsidRPr="006D2F3F">
        <w:rPr>
          <w:color w:val="1A1A1A"/>
          <w:sz w:val="22"/>
        </w:rPr>
        <w:t>De modo geral, agonistas do receptor de GLP-1 apresentam perfil seguro quando associados a contraceptivos orais. A tirzepatida constitui exceção, demandando orientação contraceptiva adicional. Estudos prospectivos são necessários para avaliar desfechos contraceptivos clínicos e orientar recomendações mais precisas.</w:t>
      </w:r>
    </w:p>
    <w:p w:rsidR="000B5910" w:rsidRDefault="000B5910">
      <w:pPr>
        <w:pBdr>
          <w:bottom w:val="single" w:sz="4" w:space="2" w:color="808080"/>
        </w:pBdr>
        <w:spacing w:before="12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Federal do Rio Grande do Sul (UFRGS</w:t>
      </w:r>
    </w:p>
    <w:p w:rsidR="000B5910" w:rsidRDefault="000B5910">
      <w:pPr>
        <w:sectPr w:rsidR="000B5910">
          <w:headerReference w:type="default" r:id="rId147"/>
          <w:footerReference w:type="default" r:id="rId14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HIPERANDROGENISMO INDUZIDO POR IMPLANTE HORMONAL ASSOCIADO À ALOPECIA ANDROGENÉTICA EM MULHER JOVEM: RELATO DE CASO</w:t>
      </w:r>
    </w:p>
    <w:p w:rsidR="000B5910" w:rsidRPr="006D2F3F" w:rsidRDefault="00057F5C">
      <w:pPr>
        <w:spacing w:after="40" w:line="252" w:lineRule="auto"/>
        <w:jc w:val="right"/>
        <w:rPr>
          <w:szCs w:val="21"/>
        </w:rPr>
      </w:pPr>
      <w:r w:rsidRPr="006D2F3F">
        <w:rPr>
          <w:color w:val="1A1A1A"/>
          <w:szCs w:val="21"/>
        </w:rPr>
        <w:t>Larissa de Souza Piardi</w:t>
      </w:r>
      <w:r w:rsidRPr="006D2F3F">
        <w:rPr>
          <w:color w:val="1A1A1A"/>
          <w:szCs w:val="21"/>
          <w:vertAlign w:val="superscript"/>
        </w:rPr>
        <w:t>1</w:t>
      </w:r>
      <w:r w:rsidRPr="006D2F3F">
        <w:rPr>
          <w:szCs w:val="21"/>
        </w:rPr>
        <w:br/>
      </w:r>
      <w:r w:rsidRPr="006D2F3F">
        <w:rPr>
          <w:color w:val="1A1A1A"/>
          <w:szCs w:val="21"/>
        </w:rPr>
        <w:t>Sophia Scholz Boelter</w:t>
      </w:r>
      <w:r w:rsidRPr="006D2F3F">
        <w:rPr>
          <w:color w:val="1A1A1A"/>
          <w:szCs w:val="21"/>
          <w:vertAlign w:val="superscript"/>
        </w:rPr>
        <w:t>1</w:t>
      </w:r>
      <w:r w:rsidRPr="006D2F3F">
        <w:rPr>
          <w:szCs w:val="21"/>
        </w:rPr>
        <w:br/>
      </w:r>
      <w:r w:rsidRPr="006D2F3F">
        <w:rPr>
          <w:color w:val="1A1A1A"/>
          <w:szCs w:val="21"/>
        </w:rPr>
        <w:t>Paula Valentina Immig</w:t>
      </w:r>
      <w:r w:rsidRPr="006D2F3F">
        <w:rPr>
          <w:color w:val="1A1A1A"/>
          <w:szCs w:val="21"/>
          <w:vertAlign w:val="superscript"/>
        </w:rPr>
        <w:t>1</w:t>
      </w:r>
      <w:r w:rsidRPr="006D2F3F">
        <w:rPr>
          <w:szCs w:val="21"/>
        </w:rPr>
        <w:br/>
      </w:r>
      <w:r w:rsidRPr="006D2F3F">
        <w:rPr>
          <w:color w:val="1A1A1A"/>
          <w:szCs w:val="21"/>
        </w:rPr>
        <w:t>Julia Limberger Winter</w:t>
      </w:r>
      <w:r w:rsidRPr="006D2F3F">
        <w:rPr>
          <w:color w:val="1A1A1A"/>
          <w:szCs w:val="21"/>
          <w:vertAlign w:val="superscript"/>
        </w:rPr>
        <w:t>1</w:t>
      </w:r>
      <w:r w:rsidRPr="006D2F3F">
        <w:rPr>
          <w:szCs w:val="21"/>
        </w:rPr>
        <w:br/>
      </w:r>
      <w:r w:rsidRPr="006D2F3F">
        <w:rPr>
          <w:color w:val="1A1A1A"/>
          <w:szCs w:val="21"/>
        </w:rPr>
        <w:t>Luiza de Mello Konzen</w:t>
      </w:r>
      <w:r w:rsidRPr="006D2F3F">
        <w:rPr>
          <w:color w:val="1A1A1A"/>
          <w:szCs w:val="21"/>
          <w:vertAlign w:val="superscript"/>
        </w:rPr>
        <w:t>1</w:t>
      </w:r>
      <w:r w:rsidRPr="006D2F3F">
        <w:rPr>
          <w:szCs w:val="21"/>
        </w:rPr>
        <w:br/>
      </w:r>
      <w:r w:rsidRPr="006D2F3F">
        <w:rPr>
          <w:color w:val="1A1A1A"/>
          <w:szCs w:val="21"/>
        </w:rPr>
        <w:t>Isabela Succolotti Roeber</w:t>
      </w:r>
      <w:r w:rsidRPr="006D2F3F">
        <w:rPr>
          <w:color w:val="1A1A1A"/>
          <w:szCs w:val="21"/>
          <w:vertAlign w:val="superscript"/>
        </w:rPr>
        <w:t>1</w:t>
      </w:r>
      <w:r w:rsidRPr="006D2F3F">
        <w:rPr>
          <w:szCs w:val="21"/>
        </w:rPr>
        <w:br/>
      </w:r>
      <w:r w:rsidRPr="006D2F3F">
        <w:rPr>
          <w:color w:val="1A1A1A"/>
          <w:szCs w:val="21"/>
        </w:rPr>
        <w:t>Antônia Giaretta Kipper</w:t>
      </w:r>
      <w:r w:rsidRPr="006D2F3F">
        <w:rPr>
          <w:color w:val="1A1A1A"/>
          <w:szCs w:val="21"/>
          <w:vertAlign w:val="superscript"/>
        </w:rPr>
        <w:t>1</w:t>
      </w:r>
      <w:r w:rsidRPr="006D2F3F">
        <w:rPr>
          <w:szCs w:val="21"/>
        </w:rPr>
        <w:br/>
      </w:r>
      <w:r w:rsidRPr="006D2F3F">
        <w:rPr>
          <w:color w:val="1A1A1A"/>
          <w:szCs w:val="21"/>
        </w:rPr>
        <w:t>Isadora Piuco Bittencourt</w:t>
      </w:r>
      <w:r w:rsidRPr="006D2F3F">
        <w:rPr>
          <w:color w:val="1A1A1A"/>
          <w:szCs w:val="21"/>
          <w:vertAlign w:val="superscript"/>
        </w:rPr>
        <w:t>1</w:t>
      </w:r>
      <w:r w:rsidRPr="006D2F3F">
        <w:rPr>
          <w:szCs w:val="21"/>
        </w:rPr>
        <w:br/>
      </w:r>
      <w:r w:rsidRPr="006D2F3F">
        <w:rPr>
          <w:color w:val="1A1A1A"/>
          <w:szCs w:val="21"/>
        </w:rPr>
        <w:t>Gabriela Jacques Hoss</w:t>
      </w:r>
      <w:r w:rsidRPr="006D2F3F">
        <w:rPr>
          <w:color w:val="1A1A1A"/>
          <w:szCs w:val="21"/>
          <w:vertAlign w:val="superscript"/>
        </w:rPr>
        <w:t>1</w:t>
      </w:r>
    </w:p>
    <w:p w:rsidR="000B5910" w:rsidRDefault="00057F5C">
      <w:pPr>
        <w:spacing w:before="200" w:after="100"/>
      </w:pPr>
      <w:r>
        <w:rPr>
          <w:b/>
          <w:color w:val="1A1A1A"/>
          <w:sz w:val="22"/>
          <w:szCs w:val="24"/>
        </w:rPr>
        <w:t>RESUMO</w:t>
      </w:r>
    </w:p>
    <w:p w:rsidR="000B5910" w:rsidRPr="006D2F3F" w:rsidRDefault="00057F5C">
      <w:pPr>
        <w:spacing w:after="80" w:line="264" w:lineRule="auto"/>
        <w:jc w:val="both"/>
        <w:rPr>
          <w:sz w:val="22"/>
        </w:rPr>
      </w:pPr>
      <w:r w:rsidRPr="006D2F3F">
        <w:rPr>
          <w:b/>
          <w:color w:val="1A1A1A"/>
          <w:sz w:val="22"/>
        </w:rPr>
        <w:t>Apresentação do Caso:</w:t>
      </w:r>
      <w:r w:rsidRPr="006D2F3F">
        <w:rPr>
          <w:color w:val="1A1A1A"/>
          <w:sz w:val="22"/>
        </w:rPr>
        <w:t xml:space="preserve"> Paciente feminina, 37 anos, previamente hígida, procurou avaliação endocrinológica por alopecia progressiva iniciada após implante hormonal contendo androgênios. O implante, realizado cerca de seis meses antes da consulta, continha testosterona associada </w:t>
      </w:r>
      <w:proofErr w:type="gramStart"/>
      <w:r w:rsidRPr="006D2F3F">
        <w:rPr>
          <w:color w:val="1A1A1A"/>
          <w:sz w:val="22"/>
        </w:rPr>
        <w:t>a</w:t>
      </w:r>
      <w:proofErr w:type="gramEnd"/>
      <w:r w:rsidRPr="006D2F3F">
        <w:rPr>
          <w:color w:val="1A1A1A"/>
          <w:sz w:val="22"/>
        </w:rPr>
        <w:t xml:space="preserve"> oxandrolona e nicotinamida adenina dinucleotídeo. Após o procedimento, a paciente apresentou oleosidade cutânea, acne em região mandibular, irritabilidade e fragilidade capilar. Três meses após o implante, houve intensificação da queda capilar, predominando em região frontal e vértex. Foi diagnosticada com alopecia androgenética e iniciado tratamento com minoxidil oral 2 mg/dia e espironolactona 50 mg/dia. Ao exame, observava-se rarefação capilar frontal e em vértex, sem sinais inflamatórios no couro cabeludo. Exames laboratoriais mostraram parâmetros hematológicos, metabólicos, nutricionais e tireoidianos dentro da normalidade. Contudo, exames prévios evidenciaram hiperandrogenemia significativa após o implante, com testosterona total &gt;300 ng/dL, reduzindo progressivamente nos meses subsequentes. Diante da suspeita de alopecia associada à exposição androgênica, optou-se por aumento da espironolactona para 100 mg/dia, com manutenção do minoxidil oral e seguimento especializado.</w:t>
      </w:r>
      <w:r w:rsidRPr="006D2F3F">
        <w:rPr>
          <w:b/>
          <w:color w:val="1A1A1A"/>
          <w:sz w:val="22"/>
        </w:rPr>
        <w:t xml:space="preserve"> Discussão:</w:t>
      </w:r>
      <w:r w:rsidRPr="006D2F3F">
        <w:rPr>
          <w:color w:val="1A1A1A"/>
          <w:sz w:val="22"/>
        </w:rPr>
        <w:t xml:space="preserve"> A exposição </w:t>
      </w:r>
      <w:proofErr w:type="gramStart"/>
      <w:r w:rsidRPr="006D2F3F">
        <w:rPr>
          <w:color w:val="1A1A1A"/>
          <w:sz w:val="22"/>
        </w:rPr>
        <w:t>a</w:t>
      </w:r>
      <w:proofErr w:type="gramEnd"/>
      <w:r w:rsidRPr="006D2F3F">
        <w:rPr>
          <w:color w:val="1A1A1A"/>
          <w:sz w:val="22"/>
        </w:rPr>
        <w:t xml:space="preserve"> androgênios exógenos pode acelerar o processo de miniaturização folicular mediado pela di-hidrotestosterona (DHT), especialmente naqueles geneticamente predispostos. A testosterona e seus derivados, como </w:t>
      </w:r>
      <w:proofErr w:type="gramStart"/>
      <w:r w:rsidRPr="006D2F3F">
        <w:rPr>
          <w:color w:val="1A1A1A"/>
          <w:sz w:val="22"/>
        </w:rPr>
        <w:t>a</w:t>
      </w:r>
      <w:proofErr w:type="gramEnd"/>
      <w:r w:rsidRPr="006D2F3F">
        <w:rPr>
          <w:color w:val="1A1A1A"/>
          <w:sz w:val="22"/>
        </w:rPr>
        <w:t xml:space="preserve"> oxandrolona, podem elevar a disponibilidade periférica de androgênios e favorecer a conversão em DHT, contribuindo para o desencadeamento ou agravamento da alopecia androgenética. Ademais, eventos sistêmicos agudos, como infecções virais, podem atuar como fator adicional para eflúvio telógeno, potencializando a perda capilar. O uso de implantes hormonais contendo esteróides anabolizantes tem se expandido em contextos não regulamentados e sem indicação clínica respaldada por diretrizes médicas, frequentemente sem adequada monitorização hormonal, podendo resultar em hiperandrogenismo e manifestações dermatológicas adversas.</w:t>
      </w:r>
      <w:r w:rsidRPr="006D2F3F">
        <w:rPr>
          <w:b/>
          <w:color w:val="1A1A1A"/>
          <w:sz w:val="22"/>
        </w:rPr>
        <w:t xml:space="preserve"> Considerações finais:</w:t>
      </w:r>
      <w:r w:rsidRPr="006D2F3F">
        <w:rPr>
          <w:color w:val="1A1A1A"/>
          <w:sz w:val="22"/>
        </w:rPr>
        <w:t xml:space="preserve"> O caso sugere </w:t>
      </w:r>
      <w:proofErr w:type="gramStart"/>
      <w:r w:rsidRPr="006D2F3F">
        <w:rPr>
          <w:color w:val="1A1A1A"/>
          <w:sz w:val="22"/>
        </w:rPr>
        <w:t>a</w:t>
      </w:r>
      <w:proofErr w:type="gramEnd"/>
      <w:r w:rsidRPr="006D2F3F">
        <w:rPr>
          <w:color w:val="1A1A1A"/>
          <w:sz w:val="22"/>
        </w:rPr>
        <w:t xml:space="preserve"> associação entre implante hormonal contendo androgênios e o desenvolvimento de alopecia em mulher previamente hígida, ressaltando a importância da avaliação criteriosa das indicações, monitorização hormonal adequada e esclarecimento dos potenciais efeitos adversos desses dispositivos.</w:t>
      </w:r>
    </w:p>
    <w:p w:rsidR="000B5910" w:rsidRDefault="000B5910">
      <w:pPr>
        <w:pBdr>
          <w:bottom w:val="single" w:sz="4" w:space="2" w:color="808080"/>
        </w:pBdr>
        <w:spacing w:before="12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de Santa Cruz do Sul-RS</w:t>
      </w:r>
    </w:p>
    <w:p w:rsidR="000B5910" w:rsidRDefault="000B5910">
      <w:pPr>
        <w:sectPr w:rsidR="000B5910">
          <w:headerReference w:type="default" r:id="rId149"/>
          <w:footerReference w:type="default" r:id="rId15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TERAPIA DE REPOSIÇÃO HORMONAL NA MENOPAUSA: BENEFÍCIOS TERAPÊUTICOS E PERSPECTIVAS PARA INCORPORAÇÃO NO SUS</w:t>
      </w:r>
    </w:p>
    <w:p w:rsidR="000B5910" w:rsidRPr="006D2F3F" w:rsidRDefault="00057F5C">
      <w:pPr>
        <w:spacing w:after="40" w:line="252" w:lineRule="auto"/>
        <w:jc w:val="right"/>
        <w:rPr>
          <w:szCs w:val="21"/>
        </w:rPr>
      </w:pPr>
      <w:r w:rsidRPr="006D2F3F">
        <w:rPr>
          <w:color w:val="1A1A1A"/>
          <w:szCs w:val="21"/>
        </w:rPr>
        <w:t>Catherine Bischoff Rauen</w:t>
      </w:r>
      <w:r w:rsidRPr="006D2F3F">
        <w:rPr>
          <w:color w:val="1A1A1A"/>
          <w:szCs w:val="21"/>
          <w:vertAlign w:val="superscript"/>
        </w:rPr>
        <w:t>1</w:t>
      </w:r>
      <w:r w:rsidRPr="006D2F3F">
        <w:rPr>
          <w:szCs w:val="21"/>
        </w:rPr>
        <w:br/>
      </w:r>
      <w:r w:rsidRPr="006D2F3F">
        <w:rPr>
          <w:color w:val="1A1A1A"/>
          <w:szCs w:val="21"/>
        </w:rPr>
        <w:t>João Victor Homrich Ziembowicz</w:t>
      </w:r>
      <w:r w:rsidRPr="006D2F3F">
        <w:rPr>
          <w:color w:val="1A1A1A"/>
          <w:szCs w:val="21"/>
          <w:vertAlign w:val="superscript"/>
        </w:rPr>
        <w:t>1</w:t>
      </w:r>
      <w:r w:rsidRPr="006D2F3F">
        <w:rPr>
          <w:szCs w:val="21"/>
        </w:rPr>
        <w:br/>
      </w:r>
      <w:r w:rsidRPr="006D2F3F">
        <w:rPr>
          <w:color w:val="1A1A1A"/>
          <w:szCs w:val="21"/>
        </w:rPr>
        <w:t>Amanda Milena de Melo</w:t>
      </w:r>
      <w:r w:rsidRPr="006D2F3F">
        <w:rPr>
          <w:color w:val="1A1A1A"/>
          <w:szCs w:val="21"/>
          <w:vertAlign w:val="superscript"/>
        </w:rPr>
        <w:t>1</w:t>
      </w:r>
      <w:r w:rsidRPr="006D2F3F">
        <w:rPr>
          <w:szCs w:val="21"/>
        </w:rPr>
        <w:br/>
      </w:r>
      <w:r w:rsidRPr="006D2F3F">
        <w:rPr>
          <w:color w:val="1A1A1A"/>
          <w:szCs w:val="21"/>
        </w:rPr>
        <w:t>Paula Wrasse Temp</w:t>
      </w:r>
      <w:r w:rsidRPr="006D2F3F">
        <w:rPr>
          <w:color w:val="1A1A1A"/>
          <w:szCs w:val="21"/>
          <w:vertAlign w:val="superscript"/>
        </w:rPr>
        <w:t>1</w:t>
      </w:r>
      <w:r w:rsidRPr="006D2F3F">
        <w:rPr>
          <w:szCs w:val="21"/>
        </w:rPr>
        <w:br/>
      </w:r>
      <w:r w:rsidRPr="006D2F3F">
        <w:rPr>
          <w:color w:val="1A1A1A"/>
          <w:szCs w:val="21"/>
        </w:rPr>
        <w:t>Monique Vincensi Uhde</w:t>
      </w:r>
      <w:r w:rsidRPr="006D2F3F">
        <w:rPr>
          <w:color w:val="1A1A1A"/>
          <w:szCs w:val="21"/>
          <w:vertAlign w:val="superscript"/>
        </w:rPr>
        <w:t>1</w:t>
      </w:r>
      <w:r w:rsidRPr="006D2F3F">
        <w:rPr>
          <w:szCs w:val="21"/>
        </w:rPr>
        <w:br/>
      </w:r>
      <w:r w:rsidRPr="006D2F3F">
        <w:rPr>
          <w:color w:val="1A1A1A"/>
          <w:szCs w:val="21"/>
        </w:rPr>
        <w:t>Gabriela Jacques Hoss</w:t>
      </w:r>
      <w:r w:rsidRPr="006D2F3F">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6D2F3F" w:rsidRDefault="00057F5C">
      <w:pPr>
        <w:spacing w:after="80" w:line="264" w:lineRule="auto"/>
        <w:jc w:val="both"/>
        <w:rPr>
          <w:sz w:val="22"/>
        </w:rPr>
      </w:pPr>
      <w:r w:rsidRPr="006D2F3F">
        <w:rPr>
          <w:b/>
          <w:color w:val="1A1A1A"/>
          <w:sz w:val="22"/>
        </w:rPr>
        <w:t>Introdução:</w:t>
      </w:r>
      <w:r w:rsidRPr="006D2F3F">
        <w:rPr>
          <w:color w:val="1A1A1A"/>
          <w:sz w:val="22"/>
        </w:rPr>
        <w:t xml:space="preserve"> A menopausa caracteriza-se pela cessação da função ovariana, com redução de estrogênios e progesterona, gerando sintomas que impactam a qualidade de vida. A Terapia de Reposição Hormonal (TRH) é considerada o tratamento mais eficaz para alívio das manifestações do hipoestrogenismo. Entretanto, o acesso à TRH no Sistema Único de Saúde (SUS) permanece limitado, dificultando o manejo adequado das mulheres na rede pública. </w:t>
      </w:r>
      <w:r w:rsidRPr="006D2F3F">
        <w:rPr>
          <w:b/>
          <w:color w:val="1A1A1A"/>
          <w:sz w:val="22"/>
        </w:rPr>
        <w:t>Objetivo:</w:t>
      </w:r>
      <w:r w:rsidRPr="006D2F3F">
        <w:rPr>
          <w:color w:val="1A1A1A"/>
          <w:sz w:val="22"/>
        </w:rPr>
        <w:t xml:space="preserve"> Examinar evidências sobre os benefícios da terapia de reposição hormonal na menopausa e discutir </w:t>
      </w:r>
      <w:proofErr w:type="gramStart"/>
      <w:r w:rsidRPr="006D2F3F">
        <w:rPr>
          <w:color w:val="1A1A1A"/>
          <w:sz w:val="22"/>
        </w:rPr>
        <w:t>a</w:t>
      </w:r>
      <w:proofErr w:type="gramEnd"/>
      <w:r w:rsidRPr="006D2F3F">
        <w:rPr>
          <w:color w:val="1A1A1A"/>
          <w:sz w:val="22"/>
        </w:rPr>
        <w:t xml:space="preserve"> importância de sua inclusão no SUS. </w:t>
      </w:r>
      <w:r w:rsidRPr="006D2F3F">
        <w:rPr>
          <w:b/>
          <w:color w:val="1A1A1A"/>
          <w:sz w:val="22"/>
        </w:rPr>
        <w:t>Métodos</w:t>
      </w:r>
      <w:r w:rsidRPr="006D2F3F">
        <w:rPr>
          <w:color w:val="1A1A1A"/>
          <w:sz w:val="22"/>
        </w:rPr>
        <w:t xml:space="preserve">: Revisão sistemática pelo método PRISMA nas bases PubMed e Scopus, considerando publicações entre 2021 e 2026. Foram usados os descritores “Hormone Replacement Therapy”, “Menopause” e “quality of life”, combinados pelo operador AND no DeCS/MeSH. Incluíram-se artigos em português e inglês. </w:t>
      </w:r>
      <w:r w:rsidRPr="006D2F3F">
        <w:rPr>
          <w:b/>
          <w:color w:val="1A1A1A"/>
          <w:sz w:val="22"/>
        </w:rPr>
        <w:t>Resultados:</w:t>
      </w:r>
      <w:r w:rsidRPr="006D2F3F">
        <w:rPr>
          <w:color w:val="1A1A1A"/>
          <w:sz w:val="22"/>
        </w:rPr>
        <w:t xml:space="preserve"> Identificaram-se 153 artigos, sendo 5 selecionados. Entre os principais benefícios, destacam-se melhora dos sintomas vasomotores e efeitos metabólicos, cardiovasculares e neuroprotetores. A TRH repõe parcialmente estrogênio, estabilizando o centro termorregulador hipotalâmico e reduzindo fogachos e sudorese. Quando iniciada precocemente, o estrogênio pode exercer efeitos vasculares favoráveis, como melhora da função endotelial, do perfil lipídico e da sensibilidade à insulina, podendo contribuir para redução do risco de eventos cardiovasculares e diabetes tipo 2. Além disso, usuárias da terapia têm maior preservação de áreas cerebrais ligadas à cognição. Discussão: As mulheres são as principais usuárias do SUS. Hoje, o Projeto de Lei nº 3933/2023 (ainda em tramitação) propõe cuidado integral na menopausa, incluindo oferta de reposição hormonal pelo SUS, representando chance de acesso ao tratamento ainda não oferecido. Considerando a possível redução do risco de doenças crônicas associadas ao hipoestrogenismo, como diabetes, dislipidemias e doenças cardiovasculares, e do impacto dessas condições na qualidade de vida e nos custos para o SUS, evidencia-se a relevância de ampliar o acesso à Terapia de Reposição Hormonal na rede pública</w:t>
      </w:r>
      <w:r w:rsidRPr="006D2F3F">
        <w:rPr>
          <w:b/>
          <w:color w:val="1A1A1A"/>
          <w:sz w:val="22"/>
        </w:rPr>
        <w:t>. Conclusão</w:t>
      </w:r>
      <w:r w:rsidRPr="006D2F3F">
        <w:rPr>
          <w:color w:val="1A1A1A"/>
          <w:sz w:val="22"/>
        </w:rPr>
        <w:t>: A TRH mostra vantagens no alívio dos sintomas da menopausa e pode contribuir para a redução de riscos associados ao hipoestrogenismo. Ao melhorar sintomas vasomotores, metabólicos e a funcionalidade diária, aprimora a qualidade de vida. Logo, ampliar o acesso à TRH no SUS é essencial para fortalecer o cuidado integral à saúde feminina.</w:t>
      </w:r>
    </w:p>
    <w:p w:rsidR="000B5910" w:rsidRDefault="000B5910">
      <w:pPr>
        <w:pBdr>
          <w:bottom w:val="single" w:sz="4" w:space="2" w:color="808080"/>
        </w:pBdr>
        <w:spacing w:before="12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de Santa Cruz do Sul (UNISC</w:t>
      </w:r>
    </w:p>
    <w:p w:rsidR="000B5910" w:rsidRDefault="000B5910">
      <w:pPr>
        <w:sectPr w:rsidR="000B5910">
          <w:headerReference w:type="default" r:id="rId151"/>
          <w:footerReference w:type="default" r:id="rId15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HIPERANDROGENISMO NA PÓS-MENOPAUSA: RELATO DE CASO DE HIPERTECOSE OVARIANA</w:t>
      </w:r>
    </w:p>
    <w:p w:rsidR="000B5910" w:rsidRPr="006D2F3F" w:rsidRDefault="00057F5C">
      <w:pPr>
        <w:spacing w:after="40" w:line="252" w:lineRule="auto"/>
        <w:jc w:val="right"/>
        <w:rPr>
          <w:szCs w:val="21"/>
        </w:rPr>
      </w:pPr>
      <w:r w:rsidRPr="006D2F3F">
        <w:rPr>
          <w:color w:val="1A1A1A"/>
          <w:szCs w:val="21"/>
        </w:rPr>
        <w:t>Maria Carolina Wensing Herdt</w:t>
      </w:r>
      <w:r w:rsidRPr="006D2F3F">
        <w:rPr>
          <w:color w:val="1A1A1A"/>
          <w:szCs w:val="21"/>
          <w:vertAlign w:val="superscript"/>
        </w:rPr>
        <w:t>1</w:t>
      </w:r>
      <w:r w:rsidRPr="006D2F3F">
        <w:rPr>
          <w:szCs w:val="21"/>
        </w:rPr>
        <w:br/>
      </w:r>
      <w:r w:rsidRPr="006D2F3F">
        <w:rPr>
          <w:color w:val="1A1A1A"/>
          <w:szCs w:val="21"/>
        </w:rPr>
        <w:t>Aline Scharnberg</w:t>
      </w:r>
      <w:r w:rsidRPr="006D2F3F">
        <w:rPr>
          <w:color w:val="1A1A1A"/>
          <w:szCs w:val="21"/>
          <w:vertAlign w:val="superscript"/>
        </w:rPr>
        <w:t>1</w:t>
      </w:r>
      <w:r w:rsidRPr="006D2F3F">
        <w:rPr>
          <w:szCs w:val="21"/>
        </w:rPr>
        <w:br/>
      </w:r>
      <w:r w:rsidRPr="006D2F3F">
        <w:rPr>
          <w:color w:val="1A1A1A"/>
          <w:szCs w:val="21"/>
        </w:rPr>
        <w:t>Daniel Persch</w:t>
      </w:r>
      <w:r w:rsidRPr="006D2F3F">
        <w:rPr>
          <w:color w:val="1A1A1A"/>
          <w:szCs w:val="21"/>
          <w:vertAlign w:val="superscript"/>
        </w:rPr>
        <w:t>1</w:t>
      </w:r>
      <w:r w:rsidRPr="006D2F3F">
        <w:rPr>
          <w:szCs w:val="21"/>
        </w:rPr>
        <w:br/>
      </w:r>
      <w:r w:rsidRPr="006D2F3F">
        <w:rPr>
          <w:color w:val="1A1A1A"/>
          <w:szCs w:val="21"/>
        </w:rPr>
        <w:t>Isaias Tavares da Silva</w:t>
      </w:r>
      <w:r w:rsidRPr="006D2F3F">
        <w:rPr>
          <w:color w:val="1A1A1A"/>
          <w:szCs w:val="21"/>
          <w:vertAlign w:val="superscript"/>
        </w:rPr>
        <w:t>1</w:t>
      </w:r>
      <w:r w:rsidRPr="006D2F3F">
        <w:rPr>
          <w:szCs w:val="21"/>
        </w:rPr>
        <w:br/>
      </w:r>
      <w:r w:rsidRPr="006D2F3F">
        <w:rPr>
          <w:color w:val="1A1A1A"/>
          <w:szCs w:val="21"/>
        </w:rPr>
        <w:t>Juarez Junior Dornelles Meneghetti</w:t>
      </w:r>
      <w:r w:rsidRPr="006D2F3F">
        <w:rPr>
          <w:color w:val="1A1A1A"/>
          <w:szCs w:val="21"/>
          <w:vertAlign w:val="superscript"/>
        </w:rPr>
        <w:t>1</w:t>
      </w:r>
      <w:r w:rsidRPr="006D2F3F">
        <w:rPr>
          <w:szCs w:val="21"/>
        </w:rPr>
        <w:br/>
      </w:r>
      <w:r w:rsidRPr="006D2F3F">
        <w:rPr>
          <w:color w:val="1A1A1A"/>
          <w:szCs w:val="21"/>
        </w:rPr>
        <w:t>Luisa Serafini Couto</w:t>
      </w:r>
      <w:r w:rsidRPr="006D2F3F">
        <w:rPr>
          <w:color w:val="1A1A1A"/>
          <w:szCs w:val="21"/>
          <w:vertAlign w:val="superscript"/>
        </w:rPr>
        <w:t>1</w:t>
      </w:r>
      <w:r w:rsidRPr="006D2F3F">
        <w:rPr>
          <w:szCs w:val="21"/>
        </w:rPr>
        <w:br/>
      </w:r>
      <w:r w:rsidRPr="006D2F3F">
        <w:rPr>
          <w:color w:val="1A1A1A"/>
          <w:szCs w:val="21"/>
        </w:rPr>
        <w:t>Carolina Garcia Soares Leaes Rech</w:t>
      </w:r>
      <w:r w:rsidRPr="006D2F3F">
        <w:rPr>
          <w:color w:val="1A1A1A"/>
          <w:szCs w:val="21"/>
          <w:vertAlign w:val="superscript"/>
        </w:rPr>
        <w:t>1</w:t>
      </w:r>
      <w:r w:rsidRPr="006D2F3F">
        <w:rPr>
          <w:szCs w:val="21"/>
        </w:rPr>
        <w:br/>
      </w:r>
      <w:r w:rsidRPr="006D2F3F">
        <w:rPr>
          <w:color w:val="1A1A1A"/>
          <w:szCs w:val="21"/>
        </w:rPr>
        <w:t>Julia Fernanda Semmelmann Pereira Lima</w:t>
      </w:r>
      <w:r w:rsidRPr="006D2F3F">
        <w:rPr>
          <w:color w:val="1A1A1A"/>
          <w:szCs w:val="21"/>
          <w:vertAlign w:val="superscript"/>
        </w:rPr>
        <w:t>1</w:t>
      </w:r>
    </w:p>
    <w:p w:rsidR="000B5910" w:rsidRDefault="00057F5C">
      <w:pPr>
        <w:spacing w:before="240" w:after="100"/>
      </w:pPr>
      <w:r>
        <w:rPr>
          <w:b/>
          <w:color w:val="1A1A1A"/>
          <w:sz w:val="22"/>
        </w:rPr>
        <w:t>RESUMO</w:t>
      </w:r>
    </w:p>
    <w:p w:rsidR="000B5910" w:rsidRPr="006D2F3F" w:rsidRDefault="00057F5C">
      <w:pPr>
        <w:spacing w:after="80"/>
        <w:jc w:val="both"/>
        <w:rPr>
          <w:sz w:val="22"/>
        </w:rPr>
      </w:pPr>
      <w:r w:rsidRPr="006D2F3F">
        <w:rPr>
          <w:b/>
          <w:color w:val="1A1A1A"/>
          <w:sz w:val="22"/>
        </w:rPr>
        <w:t>Apresentação do caso</w:t>
      </w:r>
      <w:r w:rsidRPr="006D2F3F">
        <w:rPr>
          <w:color w:val="1A1A1A"/>
          <w:sz w:val="22"/>
        </w:rPr>
        <w:t xml:space="preserve">: O hiperandrogenismo na pós-menopausa resulta do aumento relativo ou absoluto da produção de andrógenos de origem ovariana e/ou adrenal. Embora mudanças hormonais nessa fase levem a maior atividade androgênica, os sintomas são frequentemente leves e atribuídos ao envelhecimento, o que retarda o diagnóstico. Mulher de 68 anos procurou endocrinologia por hirsutismo iniciado aos 64 anos (Ferriman-Gallwey 12). Portadora de hipertensão, diabetes tipo 2 e obesidade grau I. Menarca aos 14 anos e menopausa aos 52. Exames laboratoriais mostraram testosterona total de 226ng/dL (14–76) e testosterona livre de 3,73 ng/dL (0,05–0,95), com demais laboratoriais dentro da normalidade. Ressonância magnética de abdome evidenciou adrenais preservadas, mas ovários aumentados para </w:t>
      </w:r>
      <w:proofErr w:type="gramStart"/>
      <w:r w:rsidRPr="006D2F3F">
        <w:rPr>
          <w:color w:val="1A1A1A"/>
          <w:sz w:val="22"/>
        </w:rPr>
        <w:t>a</w:t>
      </w:r>
      <w:proofErr w:type="gramEnd"/>
      <w:r w:rsidRPr="006D2F3F">
        <w:rPr>
          <w:color w:val="1A1A1A"/>
          <w:sz w:val="22"/>
        </w:rPr>
        <w:t xml:space="preserve"> idade: direito com 7,4cm³ e esquerdo com 7,3cm³. Devido sangramento uterino anormal por leiomioma associado </w:t>
      </w:r>
      <w:proofErr w:type="gramStart"/>
      <w:r w:rsidRPr="006D2F3F">
        <w:rPr>
          <w:color w:val="1A1A1A"/>
          <w:sz w:val="22"/>
        </w:rPr>
        <w:t>a</w:t>
      </w:r>
      <w:proofErr w:type="gramEnd"/>
      <w:r w:rsidRPr="006D2F3F">
        <w:rPr>
          <w:color w:val="1A1A1A"/>
          <w:sz w:val="22"/>
        </w:rPr>
        <w:t xml:space="preserve"> esse quadro, foi submetida à pan-histerectomia com salpingo-ooforectomia. No pós-operatório precoce, testosterona caiu para 10,5ng/dL. Anatomopatológico inicial mostrou apenas corpos albicantes. No seguimento, o hirsutismo regrediu (Ferriman-Gallwey 7) e a testosterona manteve-se &lt;10 ng/dL. Revisão histológica revelou hipercelularidade estromal e ninhos esparsos de células da teca luteinizadas, confirmando hipertecose ovariana bilateral. </w:t>
      </w:r>
      <w:r w:rsidRPr="006D2F3F">
        <w:rPr>
          <w:b/>
          <w:color w:val="1A1A1A"/>
          <w:sz w:val="22"/>
        </w:rPr>
        <w:t>Discussão</w:t>
      </w:r>
      <w:r w:rsidRPr="006D2F3F">
        <w:rPr>
          <w:color w:val="1A1A1A"/>
          <w:sz w:val="22"/>
        </w:rPr>
        <w:t xml:space="preserve">: A hipertecose ovariana é uma causa rara e não tumoral de hiperandrogenismo, típica em mulheres na pós-menopausa, frequentemente associada à síndrome metabólica. Representa cerca de 9% dos casos de hiperandrogenismo nessa população. Caracteriza-se pela presença de ninhos de células da teca luteinizadas no estroma ovariano, com produção elevada de androgênios. A diferenciação com tumores ovarianos é difícil e o diagnóstico definitivo depende da histopatologia. </w:t>
      </w:r>
      <w:proofErr w:type="gramStart"/>
      <w:r w:rsidRPr="006D2F3F">
        <w:rPr>
          <w:color w:val="1A1A1A"/>
          <w:sz w:val="22"/>
        </w:rPr>
        <w:t>A</w:t>
      </w:r>
      <w:proofErr w:type="gramEnd"/>
      <w:r w:rsidRPr="006D2F3F">
        <w:rPr>
          <w:color w:val="1A1A1A"/>
          <w:sz w:val="22"/>
        </w:rPr>
        <w:t xml:space="preserve"> imagem por RM pode mostrar aumento bilateral ovariano com padrão hipointenso em T1 e T2. </w:t>
      </w:r>
      <w:r w:rsidRPr="006D2F3F">
        <w:rPr>
          <w:b/>
          <w:color w:val="1A1A1A"/>
          <w:sz w:val="22"/>
        </w:rPr>
        <w:t>Considerações finais</w:t>
      </w:r>
      <w:r w:rsidRPr="006D2F3F">
        <w:rPr>
          <w:color w:val="1A1A1A"/>
          <w:sz w:val="22"/>
        </w:rPr>
        <w:t xml:space="preserve">: Este caso destaca </w:t>
      </w:r>
      <w:proofErr w:type="gramStart"/>
      <w:r w:rsidRPr="006D2F3F">
        <w:rPr>
          <w:color w:val="1A1A1A"/>
          <w:sz w:val="22"/>
        </w:rPr>
        <w:t>a</w:t>
      </w:r>
      <w:proofErr w:type="gramEnd"/>
      <w:r w:rsidRPr="006D2F3F">
        <w:rPr>
          <w:color w:val="1A1A1A"/>
          <w:sz w:val="22"/>
        </w:rPr>
        <w:t xml:space="preserve"> importância da correlação clínica-laboratorial e da revisão anatomopatológica criteriosa em casos de hiperandrogenismo de início tardio, contribuindo para o diagnóstico e tratamento adequados.</w:t>
      </w:r>
    </w:p>
    <w:p w:rsidR="000B5910" w:rsidRDefault="000B5910">
      <w:pPr>
        <w:pBdr>
          <w:bottom w:val="single" w:sz="4" w:space="2" w:color="808080"/>
        </w:pBdr>
        <w:spacing w:before="16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Santa Casa de Misericórdia de Porto Alegre</w:t>
      </w:r>
    </w:p>
    <w:p w:rsidR="000B5910" w:rsidRDefault="000B5910">
      <w:pPr>
        <w:sectPr w:rsidR="000B5910">
          <w:headerReference w:type="default" r:id="rId153"/>
          <w:footerReference w:type="default" r:id="rId154"/>
          <w:pgSz w:w="12240" w:h="15840"/>
          <w:pgMar w:top="1417" w:right="1417" w:bottom="1417" w:left="1417" w:header="680" w:footer="680" w:gutter="0"/>
          <w:cols w:space="720"/>
        </w:sectPr>
      </w:pPr>
    </w:p>
    <w:p w:rsidR="000B5910" w:rsidRDefault="00057F5C">
      <w:pPr>
        <w:spacing w:before="80" w:line="252" w:lineRule="auto"/>
        <w:jc w:val="center"/>
        <w:rPr>
          <w:spacing w:val="-11"/>
          <w:sz w:val="22"/>
          <w:szCs w:val="24"/>
        </w:rPr>
      </w:pPr>
      <w:r>
        <w:rPr>
          <w:b/>
          <w:color w:val="1A1A1A"/>
          <w:spacing w:val="-11"/>
          <w:sz w:val="28"/>
          <w:szCs w:val="24"/>
        </w:rPr>
        <w:lastRenderedPageBreak/>
        <w:t>A PREFERÊNCIA PELO IMPLANTE DE ETONOGESTREL EM MULHERES COM DIABETES MELLITUS, QUANDO DISPONÍVEL GRATUITAMENTE, SUSTENTA SUA ADEQUAÇÃO PARA OFERTA NO SUS</w:t>
      </w:r>
    </w:p>
    <w:p w:rsidR="000B5910" w:rsidRPr="006D2F3F" w:rsidRDefault="00057F5C">
      <w:pPr>
        <w:spacing w:after="40" w:line="252" w:lineRule="auto"/>
        <w:jc w:val="right"/>
        <w:rPr>
          <w:szCs w:val="21"/>
        </w:rPr>
      </w:pPr>
      <w:r w:rsidRPr="006D2F3F">
        <w:rPr>
          <w:color w:val="1A1A1A"/>
          <w:szCs w:val="21"/>
        </w:rPr>
        <w:t>Eduarda Oliveira Santayana de Lima</w:t>
      </w:r>
      <w:r w:rsidRPr="006D2F3F">
        <w:rPr>
          <w:color w:val="1A1A1A"/>
          <w:szCs w:val="21"/>
          <w:vertAlign w:val="superscript"/>
        </w:rPr>
        <w:t>1</w:t>
      </w:r>
      <w:r w:rsidRPr="006D2F3F">
        <w:rPr>
          <w:szCs w:val="21"/>
        </w:rPr>
        <w:br/>
      </w:r>
      <w:r w:rsidRPr="006D2F3F">
        <w:rPr>
          <w:color w:val="1A1A1A"/>
          <w:szCs w:val="21"/>
        </w:rPr>
        <w:t>Caroline Reis Gerhardt</w:t>
      </w:r>
      <w:r w:rsidRPr="006D2F3F">
        <w:rPr>
          <w:color w:val="1A1A1A"/>
          <w:szCs w:val="21"/>
          <w:vertAlign w:val="superscript"/>
        </w:rPr>
        <w:t>2</w:t>
      </w:r>
      <w:r w:rsidRPr="006D2F3F">
        <w:rPr>
          <w:szCs w:val="21"/>
        </w:rPr>
        <w:br/>
      </w:r>
      <w:r w:rsidRPr="006D2F3F">
        <w:rPr>
          <w:color w:val="1A1A1A"/>
          <w:szCs w:val="21"/>
        </w:rPr>
        <w:t>Marina Frosi Amaral</w:t>
      </w:r>
      <w:r w:rsidRPr="006D2F3F">
        <w:rPr>
          <w:color w:val="1A1A1A"/>
          <w:szCs w:val="21"/>
          <w:vertAlign w:val="superscript"/>
        </w:rPr>
        <w:t>3</w:t>
      </w:r>
      <w:r w:rsidRPr="006D2F3F">
        <w:rPr>
          <w:szCs w:val="21"/>
        </w:rPr>
        <w:br/>
      </w:r>
      <w:r w:rsidRPr="006D2F3F">
        <w:rPr>
          <w:color w:val="1A1A1A"/>
          <w:szCs w:val="21"/>
        </w:rPr>
        <w:t>Luciana Loss Reck Remonti</w:t>
      </w:r>
      <w:r w:rsidRPr="006D2F3F">
        <w:rPr>
          <w:color w:val="1A1A1A"/>
          <w:szCs w:val="21"/>
          <w:vertAlign w:val="superscript"/>
        </w:rPr>
        <w:t>4</w:t>
      </w:r>
      <w:r w:rsidRPr="006D2F3F">
        <w:rPr>
          <w:szCs w:val="21"/>
        </w:rPr>
        <w:br/>
      </w:r>
      <w:r w:rsidRPr="006D2F3F">
        <w:rPr>
          <w:color w:val="1A1A1A"/>
          <w:szCs w:val="21"/>
        </w:rPr>
        <w:t>Jaqueline Neves Lubianca</w:t>
      </w:r>
      <w:r w:rsidRPr="006D2F3F">
        <w:rPr>
          <w:color w:val="1A1A1A"/>
          <w:szCs w:val="21"/>
          <w:vertAlign w:val="superscript"/>
        </w:rPr>
        <w:t>5</w:t>
      </w:r>
      <w:r w:rsidRPr="006D2F3F">
        <w:rPr>
          <w:szCs w:val="21"/>
        </w:rPr>
        <w:br/>
      </w:r>
      <w:r w:rsidRPr="006D2F3F">
        <w:rPr>
          <w:color w:val="1A1A1A"/>
          <w:szCs w:val="21"/>
        </w:rPr>
        <w:t>Fabíola Satler</w:t>
      </w:r>
      <w:r w:rsidRPr="006D2F3F">
        <w:rPr>
          <w:color w:val="1A1A1A"/>
          <w:szCs w:val="21"/>
          <w:vertAlign w:val="superscript"/>
        </w:rPr>
        <w:t>4</w:t>
      </w:r>
      <w:r w:rsidRPr="006D2F3F">
        <w:rPr>
          <w:szCs w:val="21"/>
        </w:rPr>
        <w:br/>
      </w:r>
      <w:r w:rsidRPr="006D2F3F">
        <w:rPr>
          <w:color w:val="1A1A1A"/>
          <w:szCs w:val="21"/>
        </w:rPr>
        <w:t>Cristiane Bauermann Leitão</w:t>
      </w:r>
      <w:r w:rsidRPr="006D2F3F">
        <w:rPr>
          <w:color w:val="1A1A1A"/>
          <w:szCs w:val="21"/>
          <w:vertAlign w:val="superscript"/>
        </w:rPr>
        <w:t>6</w:t>
      </w:r>
    </w:p>
    <w:p w:rsidR="000B5910" w:rsidRDefault="00057F5C" w:rsidP="006D2F3F">
      <w:pPr>
        <w:spacing w:before="200" w:after="100" w:line="240" w:lineRule="auto"/>
      </w:pPr>
      <w:r>
        <w:rPr>
          <w:b/>
          <w:color w:val="1A1A1A"/>
          <w:sz w:val="22"/>
          <w:szCs w:val="24"/>
        </w:rPr>
        <w:t>RESUMO</w:t>
      </w:r>
    </w:p>
    <w:p w:rsidR="000B5910" w:rsidRPr="006D2F3F" w:rsidRDefault="00057F5C" w:rsidP="006D2F3F">
      <w:pPr>
        <w:spacing w:after="80" w:line="240" w:lineRule="auto"/>
        <w:jc w:val="both"/>
        <w:rPr>
          <w:sz w:val="22"/>
        </w:rPr>
      </w:pPr>
      <w:r w:rsidRPr="006D2F3F">
        <w:rPr>
          <w:b/>
          <w:color w:val="1A1A1A"/>
          <w:sz w:val="22"/>
        </w:rPr>
        <w:t xml:space="preserve">Introdução: </w:t>
      </w:r>
      <w:r w:rsidRPr="006D2F3F">
        <w:rPr>
          <w:color w:val="1A1A1A"/>
          <w:sz w:val="22"/>
        </w:rPr>
        <w:t xml:space="preserve">Mulheres com Diabetes mellitus (DM) devem ser devidamente orientadas quanto ao planejamento familiar, pois o DM não controlado aumenta o risco de complicações materno-fetais. Naquelas com mais de 20 anos de diagnóstico e/ou com complicações micro ou macrovasculares, alguns métodos contraceptivos (MC) tornam-se inadequados pelos Critérios de Elegibilidade da Organização Mundial de Saúde (OMS). Os contraceptivos reversíveis de longa duração (LARCs) destacam-se por sua segurança e maior efetividade. No Sistema Único de Saúde (SUS) estão disponíveis o dispositivo intrauterino (DIU) de cobre e o implante subdérmico de etonogestrel, que foi recentemente incorporado ao SUS após portaria de julho de 2025. </w:t>
      </w:r>
      <w:r w:rsidRPr="006D2F3F">
        <w:rPr>
          <w:b/>
          <w:color w:val="1A1A1A"/>
          <w:sz w:val="22"/>
        </w:rPr>
        <w:t>Objetivo:</w:t>
      </w:r>
      <w:r w:rsidRPr="006D2F3F">
        <w:rPr>
          <w:color w:val="1A1A1A"/>
          <w:sz w:val="22"/>
        </w:rPr>
        <w:t xml:space="preserve"> Analisar os MCs escolhidos por mulheres com DM após orientações de segurança, efetividade e fornecimento gratuito. </w:t>
      </w:r>
      <w:r w:rsidRPr="006D2F3F">
        <w:rPr>
          <w:b/>
          <w:color w:val="1A1A1A"/>
          <w:sz w:val="22"/>
        </w:rPr>
        <w:t>Métodos:</w:t>
      </w:r>
      <w:r w:rsidRPr="006D2F3F">
        <w:rPr>
          <w:color w:val="1A1A1A"/>
          <w:sz w:val="22"/>
        </w:rPr>
        <w:t xml:space="preserve"> Subanálise de estudo de coorte prospectivo, conduzido em ambulatório de endocrinologia de hospital terciário com mulheres portadoras de DM em idade fértil. Aquelas que assinaram o Termo de Consentimento Livre e Esclarecido receberam orientações sobre os MCs apropriados de acordo com </w:t>
      </w:r>
      <w:proofErr w:type="gramStart"/>
      <w:r w:rsidRPr="006D2F3F">
        <w:rPr>
          <w:color w:val="1A1A1A"/>
          <w:sz w:val="22"/>
        </w:rPr>
        <w:t>a</w:t>
      </w:r>
      <w:proofErr w:type="gramEnd"/>
      <w:r w:rsidRPr="006D2F3F">
        <w:rPr>
          <w:color w:val="1A1A1A"/>
          <w:sz w:val="22"/>
        </w:rPr>
        <w:t xml:space="preserve"> OMS. Após livre escolha do MC, o fornecimento foi gratuito. Número do comitê de ética: 58015622.8.0000.5327. </w:t>
      </w:r>
      <w:r w:rsidRPr="006D2F3F">
        <w:rPr>
          <w:b/>
          <w:color w:val="1A1A1A"/>
          <w:sz w:val="22"/>
        </w:rPr>
        <w:t xml:space="preserve">Resultados: </w:t>
      </w:r>
      <w:r w:rsidRPr="006D2F3F">
        <w:rPr>
          <w:color w:val="1A1A1A"/>
          <w:sz w:val="22"/>
        </w:rPr>
        <w:t xml:space="preserve">Foram incluídas 109 mulheres com idade de 30,4 ± 8,42 anos, 14 ± 9,7 anos de diagnóstico e hemoglobina glicada de 9,24% ± 2,13%. Entre as participantes, 70 (64,3%) tinham DM tipo 1 (DM1), 27 (24,7%) DM tipo 2 e 12 (11 %) outros tipos de DM. Quarenta e seis (42,2%) usavam método hormonal combinado, 30 (27,5%) progestagênio isolado (oral ou injetável), 20 (18,3%) preservativo masculino, 2 (1,8%) método comportamental, 1 (0,9%) DIU de cobre, 1 (0,9%) DIU hormonal e 9 (8,2%) não usavam MC. Dos MC em uso, 64,2% foram considerados inadequados (44% categoria 3 ou 4 da OMS e 20,2 % por baixa efetividade). Após entrada no estudo, 68 (62,4%) escolheram implante de etonogestrel, 17 (15,6%) DIU com levonorgestrel, 15 (13,8%) pílula de progestagênio isolado, 5 (4,6%) DIU de cobre, 2 (1,8%) medroxiprogesterona injetável trimestral e 2 (1,8%) pílula oral combinada; totalizando 90 (82,6%) que escolheram LARCs. </w:t>
      </w:r>
      <w:r w:rsidRPr="006D2F3F">
        <w:rPr>
          <w:b/>
          <w:color w:val="1A1A1A"/>
          <w:sz w:val="22"/>
        </w:rPr>
        <w:t>Conclusão:</w:t>
      </w:r>
      <w:r w:rsidRPr="006D2F3F">
        <w:rPr>
          <w:color w:val="1A1A1A"/>
          <w:sz w:val="22"/>
        </w:rPr>
        <w:t xml:space="preserve"> A combinação de orientação e acesso gratuito contribuiu para que as mulheres com DM, a maioria usando MCs inadequados, optassem por MCs de alta efetividade e segurança, notadamente os LARCs. Destaca-se </w:t>
      </w:r>
      <w:proofErr w:type="gramStart"/>
      <w:r w:rsidRPr="006D2F3F">
        <w:rPr>
          <w:color w:val="1A1A1A"/>
          <w:sz w:val="22"/>
        </w:rPr>
        <w:t>a</w:t>
      </w:r>
      <w:proofErr w:type="gramEnd"/>
      <w:r w:rsidRPr="006D2F3F">
        <w:rPr>
          <w:color w:val="1A1A1A"/>
          <w:sz w:val="22"/>
        </w:rPr>
        <w:t xml:space="preserve"> escolha pelo implante de etonogestrel, reforçando a importância de sua incorporação e disponibilização no SUS.</w:t>
      </w:r>
      <w:r w:rsidRPr="006D2F3F">
        <w:rPr>
          <w:b/>
          <w:color w:val="1A1A1A"/>
          <w:sz w:val="22"/>
        </w:rPr>
        <w:t>METABOLISMO ÓSSEO E MINERAL</w:t>
      </w:r>
    </w:p>
    <w:p w:rsidR="000B5910" w:rsidRDefault="000B5910">
      <w:pPr>
        <w:pBdr>
          <w:bottom w:val="single" w:sz="4" w:space="2" w:color="808080"/>
        </w:pBdr>
        <w:spacing w:before="12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Universidade Federal do Rio Grande do Sul (UFRGS</w:t>
      </w:r>
    </w:p>
    <w:p w:rsidR="000B5910" w:rsidRPr="006D2F3F" w:rsidRDefault="00057F5C">
      <w:pPr>
        <w:spacing w:after="0" w:line="252" w:lineRule="auto"/>
        <w:rPr>
          <w:sz w:val="16"/>
          <w:szCs w:val="16"/>
        </w:rPr>
      </w:pPr>
      <w:r w:rsidRPr="006D2F3F">
        <w:rPr>
          <w:color w:val="595959"/>
          <w:sz w:val="16"/>
          <w:szCs w:val="16"/>
          <w:vertAlign w:val="superscript"/>
        </w:rPr>
        <w:t>2</w:t>
      </w:r>
      <w:r w:rsidRPr="006D2F3F">
        <w:rPr>
          <w:color w:val="595959"/>
          <w:sz w:val="16"/>
          <w:szCs w:val="16"/>
        </w:rPr>
        <w:t xml:space="preserve"> Programa de Pós-Graduação em Ciências Médicas: Endocrinologia e Metabologia UFRGS</w:t>
      </w:r>
    </w:p>
    <w:p w:rsidR="000B5910" w:rsidRPr="006D2F3F" w:rsidRDefault="00057F5C">
      <w:pPr>
        <w:spacing w:after="0" w:line="252" w:lineRule="auto"/>
        <w:rPr>
          <w:sz w:val="16"/>
          <w:szCs w:val="16"/>
        </w:rPr>
      </w:pPr>
      <w:r w:rsidRPr="006D2F3F">
        <w:rPr>
          <w:color w:val="595959"/>
          <w:sz w:val="16"/>
          <w:szCs w:val="16"/>
          <w:vertAlign w:val="superscript"/>
        </w:rPr>
        <w:t>3</w:t>
      </w:r>
      <w:r w:rsidRPr="006D2F3F">
        <w:rPr>
          <w:color w:val="595959"/>
          <w:sz w:val="16"/>
          <w:szCs w:val="16"/>
        </w:rPr>
        <w:t xml:space="preserve"> Universidade Luterana do Brasil (ULBRA</w:t>
      </w:r>
    </w:p>
    <w:p w:rsidR="000B5910" w:rsidRPr="006D2F3F" w:rsidRDefault="00057F5C">
      <w:pPr>
        <w:spacing w:after="0" w:line="252" w:lineRule="auto"/>
        <w:rPr>
          <w:sz w:val="16"/>
          <w:szCs w:val="16"/>
        </w:rPr>
      </w:pPr>
      <w:r w:rsidRPr="006D2F3F">
        <w:rPr>
          <w:color w:val="595959"/>
          <w:sz w:val="16"/>
          <w:szCs w:val="16"/>
          <w:vertAlign w:val="superscript"/>
        </w:rPr>
        <w:t>4</w:t>
      </w:r>
      <w:r w:rsidRPr="006D2F3F">
        <w:rPr>
          <w:color w:val="595959"/>
          <w:sz w:val="16"/>
          <w:szCs w:val="16"/>
        </w:rPr>
        <w:t xml:space="preserve"> Serviço de Endocrinologia do Hospital de Clínicas de Porto Alegre</w:t>
      </w:r>
    </w:p>
    <w:p w:rsidR="000B5910" w:rsidRPr="006D2F3F" w:rsidRDefault="00057F5C">
      <w:pPr>
        <w:spacing w:after="0" w:line="252" w:lineRule="auto"/>
        <w:rPr>
          <w:sz w:val="16"/>
          <w:szCs w:val="16"/>
        </w:rPr>
      </w:pPr>
      <w:r w:rsidRPr="006D2F3F">
        <w:rPr>
          <w:color w:val="595959"/>
          <w:sz w:val="16"/>
          <w:szCs w:val="16"/>
          <w:vertAlign w:val="superscript"/>
        </w:rPr>
        <w:t>5</w:t>
      </w:r>
      <w:r w:rsidRPr="006D2F3F">
        <w:rPr>
          <w:color w:val="595959"/>
          <w:sz w:val="16"/>
          <w:szCs w:val="16"/>
        </w:rPr>
        <w:t xml:space="preserve"> Serviço de Ginecologia e Obstetrícia do Hospital de Clínicas de Porto Alegre</w:t>
      </w:r>
    </w:p>
    <w:p w:rsidR="000B5910" w:rsidRPr="006D2F3F" w:rsidRDefault="00057F5C">
      <w:pPr>
        <w:spacing w:after="0" w:line="252" w:lineRule="auto"/>
        <w:rPr>
          <w:sz w:val="16"/>
          <w:szCs w:val="16"/>
        </w:rPr>
      </w:pPr>
      <w:r w:rsidRPr="006D2F3F">
        <w:rPr>
          <w:color w:val="595959"/>
          <w:sz w:val="16"/>
          <w:szCs w:val="16"/>
          <w:vertAlign w:val="superscript"/>
        </w:rPr>
        <w:t>6</w:t>
      </w:r>
      <w:r w:rsidRPr="006D2F3F">
        <w:rPr>
          <w:color w:val="595959"/>
          <w:sz w:val="16"/>
          <w:szCs w:val="16"/>
        </w:rPr>
        <w:t xml:space="preserve"> Programa de Pós-Graduação em Ciências Médicas: Endocrinologia e Metabologia</w:t>
      </w:r>
    </w:p>
    <w:p w:rsidR="000B5910" w:rsidRDefault="000B5910">
      <w:pPr>
        <w:sectPr w:rsidR="000B5910">
          <w:headerReference w:type="default" r:id="rId155"/>
          <w:footerReference w:type="default" r:id="rId15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OSTEOMALÁCIA ONCOGÊNICA E MENINGIOMA: RELATO DE CASO E PERSPECTIVA TERAPÊUTICA COM BUROSUMABE</w:t>
      </w:r>
    </w:p>
    <w:p w:rsidR="000B5910" w:rsidRPr="006D2F3F" w:rsidRDefault="00057F5C">
      <w:pPr>
        <w:spacing w:after="40" w:line="252" w:lineRule="auto"/>
        <w:jc w:val="right"/>
        <w:rPr>
          <w:szCs w:val="21"/>
        </w:rPr>
      </w:pPr>
      <w:r w:rsidRPr="006D2F3F">
        <w:rPr>
          <w:color w:val="1A1A1A"/>
          <w:szCs w:val="21"/>
        </w:rPr>
        <w:t>Lucas Thomazi Ferron</w:t>
      </w:r>
      <w:r w:rsidRPr="006D2F3F">
        <w:rPr>
          <w:color w:val="1A1A1A"/>
          <w:szCs w:val="21"/>
          <w:vertAlign w:val="superscript"/>
        </w:rPr>
        <w:t>1</w:t>
      </w:r>
      <w:r w:rsidRPr="006D2F3F">
        <w:rPr>
          <w:szCs w:val="21"/>
        </w:rPr>
        <w:br/>
      </w:r>
      <w:r w:rsidRPr="006D2F3F">
        <w:rPr>
          <w:color w:val="1A1A1A"/>
          <w:szCs w:val="21"/>
        </w:rPr>
        <w:t>Fernanda Nyari Zborowski</w:t>
      </w:r>
      <w:r w:rsidRPr="006D2F3F">
        <w:rPr>
          <w:color w:val="1A1A1A"/>
          <w:szCs w:val="21"/>
          <w:vertAlign w:val="superscript"/>
        </w:rPr>
        <w:t>2</w:t>
      </w:r>
      <w:r w:rsidRPr="006D2F3F">
        <w:rPr>
          <w:szCs w:val="21"/>
        </w:rPr>
        <w:br/>
      </w:r>
      <w:r w:rsidRPr="006D2F3F">
        <w:rPr>
          <w:color w:val="1A1A1A"/>
          <w:szCs w:val="21"/>
        </w:rPr>
        <w:t>Mauro Antonio Czepielewski</w:t>
      </w:r>
      <w:r w:rsidRPr="006D2F3F">
        <w:rPr>
          <w:color w:val="1A1A1A"/>
          <w:szCs w:val="21"/>
          <w:vertAlign w:val="superscript"/>
        </w:rPr>
        <w:t>1</w:t>
      </w:r>
    </w:p>
    <w:p w:rsidR="000B5910" w:rsidRDefault="00057F5C">
      <w:pPr>
        <w:spacing w:before="240" w:after="100"/>
      </w:pPr>
      <w:r>
        <w:rPr>
          <w:b/>
          <w:color w:val="1A1A1A"/>
          <w:sz w:val="22"/>
        </w:rPr>
        <w:t>RESUMO</w:t>
      </w:r>
    </w:p>
    <w:p w:rsidR="000B5910" w:rsidRPr="006D2F3F" w:rsidRDefault="00057F5C">
      <w:pPr>
        <w:spacing w:after="80"/>
        <w:jc w:val="both"/>
        <w:rPr>
          <w:sz w:val="22"/>
        </w:rPr>
      </w:pPr>
      <w:r w:rsidRPr="006D2F3F">
        <w:rPr>
          <w:b/>
          <w:color w:val="1A1A1A"/>
          <w:sz w:val="22"/>
        </w:rPr>
        <w:t>Apresentação do Caso:</w:t>
      </w:r>
      <w:r w:rsidRPr="006D2F3F">
        <w:rPr>
          <w:color w:val="1A1A1A"/>
          <w:sz w:val="22"/>
        </w:rPr>
        <w:t xml:space="preserve"> Paciente do sexo feminino com dor crônica e fraturas patológicas (fêmur e braço) desde 2005. Foi diagnosticada com osteoporose em 2014, apresentando pouca resposta às terapias habituais. Exames realizados em 2017 e 2018 revelaram hipofosfatemia (fosfato: 1,5 mg/dL) e níveis elevados de FGF-23 (425 pg/mL), compatíveis com osteomalácia oncogênica. Testes genéticos descartaram hipofosfatemia hereditária. Em 2009, um meningioma frontal direito foi ressecado, com recorrência em 2024. </w:t>
      </w:r>
      <w:proofErr w:type="gramStart"/>
      <w:r w:rsidRPr="006D2F3F">
        <w:rPr>
          <w:color w:val="1A1A1A"/>
          <w:sz w:val="22"/>
        </w:rPr>
        <w:t>A</w:t>
      </w:r>
      <w:proofErr w:type="gramEnd"/>
      <w:r w:rsidRPr="006D2F3F">
        <w:rPr>
          <w:color w:val="1A1A1A"/>
          <w:sz w:val="22"/>
        </w:rPr>
        <w:t xml:space="preserve"> associação temporal entre o tumor e as alterações metabólicas sugere etiologia paraneoplásica. A paciente recebeu ácido zoledrônico de janeiro de 2019 a 2023 e denosumabe de dezembro de 2020 </w:t>
      </w:r>
      <w:proofErr w:type="gramStart"/>
      <w:r w:rsidRPr="006D2F3F">
        <w:rPr>
          <w:color w:val="1A1A1A"/>
          <w:sz w:val="22"/>
        </w:rPr>
        <w:t>a</w:t>
      </w:r>
      <w:proofErr w:type="gramEnd"/>
      <w:r w:rsidRPr="006D2F3F">
        <w:rPr>
          <w:color w:val="1A1A1A"/>
          <w:sz w:val="22"/>
        </w:rPr>
        <w:t xml:space="preserve"> abril de 2022. Densitometria óssea realizada em novembro de 2022 mostrou T-score de ?2,1 no rádio. Atualmente faz uso de fosfato de potássio, calcitriol 0,5 mcg/dia e vitamina D, aguardando aprovação judicial para uso de burosumabe (anti-FGF-23). A paciente também tem necessitado de metadona para alívio de dor óssea intensa. </w:t>
      </w:r>
      <w:r w:rsidRPr="006D2F3F">
        <w:rPr>
          <w:b/>
          <w:color w:val="1A1A1A"/>
          <w:sz w:val="22"/>
        </w:rPr>
        <w:t>Discussão:</w:t>
      </w:r>
      <w:r w:rsidRPr="006D2F3F">
        <w:rPr>
          <w:color w:val="1A1A1A"/>
          <w:sz w:val="22"/>
        </w:rPr>
        <w:t xml:space="preserve"> A osteomalácia oncogênica, também conhecida como osteomalácia induzida por tumor, é uma síndrome paraneoplásica rara caracterizada por perda renal de fosfato, hipofosfatemia e consequente defeito na mineralização óssea, decorrentes da superprodução de fosfatoninas, especialmente o fator de crescimento de fibroblastos 23 (FGF-23), geralmente produzido por pequenos tumores mesenquimais de crescimento lento. Clinicamente, os pacientes apresentam dor óssea progressiva, fraqueza muscular, fadiga e frequentemente múltiplas fraturas por insuficiência ou deformidades esqueléticas. No caso relatado, o meningioma frontal direito foi associado à superprodução de FGF-23, e a falha terapêutica com medicamentos antirreabsortivos reforça a necessidade de controle do eixo FGF-23/fosfato. O burosumabe surge como uma opção promissora, com eficácia demonstrada em casos refratários. </w:t>
      </w:r>
      <w:r w:rsidRPr="006D2F3F">
        <w:rPr>
          <w:b/>
          <w:color w:val="1A1A1A"/>
          <w:sz w:val="22"/>
        </w:rPr>
        <w:t>Considerações finais</w:t>
      </w:r>
      <w:r w:rsidRPr="006D2F3F">
        <w:rPr>
          <w:color w:val="1A1A1A"/>
          <w:sz w:val="22"/>
        </w:rPr>
        <w:t>: Este caso complexo destaca os desafios no manejo da osteomalácia paraneoplásica. O burosumabe pode melhorar a qualidade de vida ao reduzir fraturas e normalizar o metabolismo ósseo. Relatos como este ampliam as evidências para terapias direcionadas em condições raras.</w:t>
      </w:r>
    </w:p>
    <w:p w:rsidR="000B5910" w:rsidRDefault="000B5910">
      <w:pPr>
        <w:pBdr>
          <w:bottom w:val="single" w:sz="4" w:space="2" w:color="808080"/>
        </w:pBdr>
        <w:spacing w:before="160" w:after="40"/>
      </w:pPr>
    </w:p>
    <w:p w:rsidR="000B5910" w:rsidRPr="006D2F3F" w:rsidRDefault="00057F5C">
      <w:pPr>
        <w:spacing w:after="0" w:line="252" w:lineRule="auto"/>
        <w:rPr>
          <w:sz w:val="16"/>
          <w:szCs w:val="16"/>
        </w:rPr>
      </w:pPr>
      <w:r w:rsidRPr="006D2F3F">
        <w:rPr>
          <w:color w:val="595959"/>
          <w:sz w:val="16"/>
          <w:szCs w:val="16"/>
          <w:vertAlign w:val="superscript"/>
        </w:rPr>
        <w:t>1</w:t>
      </w:r>
      <w:r w:rsidRPr="006D2F3F">
        <w:rPr>
          <w:color w:val="595959"/>
          <w:sz w:val="16"/>
          <w:szCs w:val="16"/>
        </w:rPr>
        <w:t xml:space="preserve"> HCPA</w:t>
      </w:r>
    </w:p>
    <w:p w:rsidR="000B5910" w:rsidRPr="006D2F3F" w:rsidRDefault="00057F5C">
      <w:pPr>
        <w:spacing w:after="0" w:line="252" w:lineRule="auto"/>
        <w:rPr>
          <w:sz w:val="16"/>
          <w:szCs w:val="16"/>
        </w:rPr>
      </w:pPr>
      <w:r w:rsidRPr="006D2F3F">
        <w:rPr>
          <w:color w:val="595959"/>
          <w:sz w:val="16"/>
          <w:szCs w:val="16"/>
          <w:vertAlign w:val="superscript"/>
        </w:rPr>
        <w:t>2</w:t>
      </w:r>
      <w:r w:rsidRPr="006D2F3F">
        <w:rPr>
          <w:color w:val="595959"/>
          <w:sz w:val="16"/>
          <w:szCs w:val="16"/>
        </w:rPr>
        <w:t xml:space="preserve"> UPF</w:t>
      </w:r>
    </w:p>
    <w:p w:rsidR="000B5910" w:rsidRDefault="000B5910">
      <w:pPr>
        <w:sectPr w:rsidR="000B5910">
          <w:headerReference w:type="default" r:id="rId157"/>
          <w:footerReference w:type="default" r:id="rId15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CRISE HIPERCALCÊMICA SECUNDÁRIA A HIPERPARATIREOIDISMO PRIMÁRIO: UM RELATO DE CASO E REVISÃO DA LITERATURA</w:t>
      </w:r>
    </w:p>
    <w:p w:rsidR="000B5910" w:rsidRPr="006D2F3F" w:rsidRDefault="00057F5C">
      <w:pPr>
        <w:spacing w:after="40" w:line="252" w:lineRule="auto"/>
        <w:jc w:val="right"/>
        <w:rPr>
          <w:szCs w:val="21"/>
        </w:rPr>
      </w:pPr>
      <w:r w:rsidRPr="006D2F3F">
        <w:rPr>
          <w:color w:val="1A1A1A"/>
          <w:szCs w:val="21"/>
        </w:rPr>
        <w:t>Laura Garcia Stella</w:t>
      </w:r>
      <w:r w:rsidRPr="006D2F3F">
        <w:rPr>
          <w:color w:val="1A1A1A"/>
          <w:szCs w:val="21"/>
          <w:vertAlign w:val="superscript"/>
        </w:rPr>
        <w:t>1</w:t>
      </w:r>
      <w:r w:rsidRPr="006D2F3F">
        <w:rPr>
          <w:szCs w:val="21"/>
        </w:rPr>
        <w:br/>
      </w:r>
      <w:r w:rsidRPr="006D2F3F">
        <w:rPr>
          <w:color w:val="1A1A1A"/>
          <w:szCs w:val="21"/>
        </w:rPr>
        <w:t>Cristina Locatelli Barcarol</w:t>
      </w:r>
      <w:r w:rsidRPr="006D2F3F">
        <w:rPr>
          <w:color w:val="1A1A1A"/>
          <w:szCs w:val="21"/>
          <w:vertAlign w:val="superscript"/>
        </w:rPr>
        <w:t>1</w:t>
      </w:r>
      <w:r w:rsidRPr="006D2F3F">
        <w:rPr>
          <w:szCs w:val="21"/>
        </w:rPr>
        <w:br/>
      </w:r>
      <w:r w:rsidRPr="006D2F3F">
        <w:rPr>
          <w:color w:val="1A1A1A"/>
          <w:szCs w:val="21"/>
        </w:rPr>
        <w:t>Eduarda Cagol</w:t>
      </w:r>
      <w:r w:rsidRPr="006D2F3F">
        <w:rPr>
          <w:color w:val="1A1A1A"/>
          <w:szCs w:val="21"/>
          <w:vertAlign w:val="superscript"/>
        </w:rPr>
        <w:t>1</w:t>
      </w:r>
      <w:r w:rsidRPr="006D2F3F">
        <w:rPr>
          <w:szCs w:val="21"/>
        </w:rPr>
        <w:br/>
      </w:r>
      <w:r w:rsidRPr="006D2F3F">
        <w:rPr>
          <w:color w:val="1A1A1A"/>
          <w:szCs w:val="21"/>
        </w:rPr>
        <w:t>Gabriela Mattei Casa</w:t>
      </w:r>
      <w:r w:rsidRPr="006D2F3F">
        <w:rPr>
          <w:color w:val="1A1A1A"/>
          <w:szCs w:val="21"/>
          <w:vertAlign w:val="superscript"/>
        </w:rPr>
        <w:t>1</w:t>
      </w:r>
      <w:r w:rsidRPr="006D2F3F">
        <w:rPr>
          <w:szCs w:val="21"/>
        </w:rPr>
        <w:br/>
      </w:r>
      <w:r w:rsidRPr="006D2F3F">
        <w:rPr>
          <w:color w:val="1A1A1A"/>
          <w:szCs w:val="21"/>
        </w:rPr>
        <w:t>Giovanna Hannaui Luciano</w:t>
      </w:r>
      <w:r w:rsidRPr="006D2F3F">
        <w:rPr>
          <w:color w:val="1A1A1A"/>
          <w:szCs w:val="21"/>
          <w:vertAlign w:val="superscript"/>
        </w:rPr>
        <w:t>1</w:t>
      </w:r>
      <w:r w:rsidRPr="006D2F3F">
        <w:rPr>
          <w:szCs w:val="21"/>
        </w:rPr>
        <w:br/>
      </w:r>
      <w:r w:rsidRPr="006D2F3F">
        <w:rPr>
          <w:color w:val="1A1A1A"/>
          <w:szCs w:val="21"/>
        </w:rPr>
        <w:t>⁠⁠ Izadora Bertassi dos Santos</w:t>
      </w:r>
      <w:r w:rsidRPr="006D2F3F">
        <w:rPr>
          <w:color w:val="1A1A1A"/>
          <w:szCs w:val="21"/>
          <w:vertAlign w:val="superscript"/>
        </w:rPr>
        <w:t>1</w:t>
      </w:r>
      <w:r w:rsidRPr="006D2F3F">
        <w:rPr>
          <w:szCs w:val="21"/>
        </w:rPr>
        <w:br/>
      </w:r>
      <w:r w:rsidRPr="006D2F3F">
        <w:rPr>
          <w:color w:val="1A1A1A"/>
          <w:szCs w:val="21"/>
        </w:rPr>
        <w:t>Lucas Caberlon</w:t>
      </w:r>
      <w:r w:rsidRPr="006D2F3F">
        <w:rPr>
          <w:color w:val="1A1A1A"/>
          <w:szCs w:val="21"/>
          <w:vertAlign w:val="superscript"/>
        </w:rPr>
        <w:t>1</w:t>
      </w:r>
      <w:r w:rsidRPr="006D2F3F">
        <w:rPr>
          <w:szCs w:val="21"/>
        </w:rPr>
        <w:br/>
      </w:r>
      <w:r w:rsidRPr="006D2F3F">
        <w:rPr>
          <w:color w:val="1A1A1A"/>
          <w:szCs w:val="21"/>
        </w:rPr>
        <w:t>Sophia Vicentin Bertoletti</w:t>
      </w:r>
      <w:r w:rsidRPr="006D2F3F">
        <w:rPr>
          <w:color w:val="1A1A1A"/>
          <w:szCs w:val="21"/>
          <w:vertAlign w:val="superscript"/>
        </w:rPr>
        <w:t>1</w:t>
      </w:r>
      <w:r w:rsidRPr="006D2F3F">
        <w:rPr>
          <w:szCs w:val="21"/>
        </w:rPr>
        <w:br/>
      </w:r>
      <w:r w:rsidRPr="006D2F3F">
        <w:rPr>
          <w:color w:val="1A1A1A"/>
          <w:szCs w:val="21"/>
        </w:rPr>
        <w:t>Vitória Bortolosso Sebben</w:t>
      </w:r>
      <w:r w:rsidRPr="006D2F3F">
        <w:rPr>
          <w:color w:val="1A1A1A"/>
          <w:szCs w:val="21"/>
          <w:vertAlign w:val="superscript"/>
        </w:rPr>
        <w:t>1</w:t>
      </w:r>
      <w:r w:rsidRPr="006D2F3F">
        <w:rPr>
          <w:szCs w:val="21"/>
        </w:rPr>
        <w:br/>
      </w:r>
      <w:r w:rsidRPr="006D2F3F">
        <w:rPr>
          <w:color w:val="1A1A1A"/>
          <w:szCs w:val="21"/>
        </w:rPr>
        <w:t>Natalia Guedes Conte</w:t>
      </w:r>
      <w:r w:rsidRPr="006D2F3F">
        <w:rPr>
          <w:color w:val="1A1A1A"/>
          <w:szCs w:val="21"/>
          <w:vertAlign w:val="superscript"/>
        </w:rPr>
        <w:t>1</w:t>
      </w:r>
    </w:p>
    <w:p w:rsidR="000B5910" w:rsidRDefault="00057F5C">
      <w:pPr>
        <w:spacing w:before="200" w:after="100"/>
      </w:pPr>
      <w:r>
        <w:rPr>
          <w:b/>
          <w:color w:val="1A1A1A"/>
          <w:sz w:val="22"/>
          <w:szCs w:val="24"/>
        </w:rPr>
        <w:t>RESUMO</w:t>
      </w:r>
    </w:p>
    <w:p w:rsidR="000B5910" w:rsidRPr="00416C1F" w:rsidRDefault="00057F5C">
      <w:pPr>
        <w:spacing w:after="80" w:line="264" w:lineRule="auto"/>
        <w:jc w:val="both"/>
        <w:rPr>
          <w:sz w:val="22"/>
        </w:rPr>
      </w:pPr>
      <w:r w:rsidRPr="00416C1F">
        <w:rPr>
          <w:b/>
          <w:color w:val="1A1A1A"/>
          <w:sz w:val="22"/>
        </w:rPr>
        <w:t xml:space="preserve">Apresentação do Caso: </w:t>
      </w:r>
      <w:r w:rsidRPr="00416C1F">
        <w:rPr>
          <w:color w:val="1A1A1A"/>
          <w:sz w:val="22"/>
        </w:rPr>
        <w:t xml:space="preserve">O hiperparatireoidismo primário é uma causa frequente de hipercalcemia, já a crise hipercalcêmica secundária </w:t>
      </w:r>
      <w:proofErr w:type="gramStart"/>
      <w:r w:rsidRPr="00416C1F">
        <w:rPr>
          <w:color w:val="1A1A1A"/>
          <w:sz w:val="22"/>
        </w:rPr>
        <w:t>a</w:t>
      </w:r>
      <w:proofErr w:type="gramEnd"/>
      <w:r w:rsidRPr="00416C1F">
        <w:rPr>
          <w:color w:val="1A1A1A"/>
          <w:sz w:val="22"/>
        </w:rPr>
        <w:t xml:space="preserve"> isso é uma condição mais rara. Relatamos o caso de uma mulher, 65 anos, que estava em acompanhamento para tratamento de obesidade em uso de semaglutida há 2 meses. Apresentava previamente hipertensão arterial sistêmica, hipotireoidismo, dislipidemia e depressão, em tratamento regular dessas comorbidades. Durante o tratamento da obesidade evoluiu com os seguintes sintomas: fadiga, humor mais deprimido, anorexia, náuseas importantes e incapacitantes. Ao exame físico, sinais vitais eram estáveis com peso atual de 77,2 kg e IMC 29,8 kg/m². Possuía um exame de densitometria mineral óssea prévio com valores normais. Mesmo após a suspensão da semaglutida, os sintomas descritos persistiram e pioraram. </w:t>
      </w:r>
      <w:proofErr w:type="gramStart"/>
      <w:r w:rsidRPr="00416C1F">
        <w:rPr>
          <w:color w:val="1A1A1A"/>
          <w:sz w:val="22"/>
        </w:rPr>
        <w:t>A</w:t>
      </w:r>
      <w:proofErr w:type="gramEnd"/>
      <w:r w:rsidRPr="00416C1F">
        <w:rPr>
          <w:color w:val="1A1A1A"/>
          <w:sz w:val="22"/>
        </w:rPr>
        <w:t xml:space="preserve"> investigação laboratorial evidenciou hipercalcemia grave (cálcio total 15,0 mg/dL; cálcio ionizado 1,85 mmol/L), com PTH 199,4 pg/mL, hipofosfatemia de 1,9 mg/dL, com função renal normal. Encaminhada à emergência para tratamento de crise hipercalcêmica com expansão volêmica e ácido zoledrônico intravenoso (IV). Ultrassonografia cervical evidenciou lesão de 2,8 cm em topografia de paratireoide direita. Realizada paratireoidectomia superior direita, com confirmação anatomopatológica de adenoma de paratireoide. Paciente evoluiu com fome óssea no pós-operatório, necessitando reposição de carbonato de cálcio, calcitriol e colecalciferol por 30 dias. Atualmente, encontra-se assintomática, em remissão da doença. </w:t>
      </w:r>
      <w:r w:rsidRPr="00416C1F">
        <w:rPr>
          <w:b/>
          <w:color w:val="1A1A1A"/>
          <w:sz w:val="22"/>
        </w:rPr>
        <w:t>Discussão:</w:t>
      </w:r>
      <w:r w:rsidRPr="00416C1F">
        <w:rPr>
          <w:color w:val="1A1A1A"/>
          <w:sz w:val="22"/>
        </w:rPr>
        <w:t xml:space="preserve"> O hiperparatireoidismo primário é caracterizado pela secreção autônoma de paratormônio, resultando em hipercalcemia com prevalência de 1-7 casos por 1000 adultos. O adenoma solitário é responsável pela maioria dos casos. </w:t>
      </w:r>
      <w:proofErr w:type="gramStart"/>
      <w:r w:rsidRPr="00416C1F">
        <w:rPr>
          <w:color w:val="1A1A1A"/>
          <w:sz w:val="22"/>
        </w:rPr>
        <w:t>A</w:t>
      </w:r>
      <w:proofErr w:type="gramEnd"/>
      <w:r w:rsidRPr="00416C1F">
        <w:rPr>
          <w:color w:val="1A1A1A"/>
          <w:sz w:val="22"/>
        </w:rPr>
        <w:t xml:space="preserve"> apresentação varia de assintomática até sintomas inespecíficos como fadiga, anorexia, náuseas, constipação e alterações neuropsiquiátricas. Esses achados dificultam o reconhecimento precoce da doença, pois frequentemente são atribuídos </w:t>
      </w:r>
      <w:proofErr w:type="gramStart"/>
      <w:r w:rsidRPr="00416C1F">
        <w:rPr>
          <w:color w:val="1A1A1A"/>
          <w:sz w:val="22"/>
        </w:rPr>
        <w:t>a</w:t>
      </w:r>
      <w:proofErr w:type="gramEnd"/>
      <w:r w:rsidRPr="00416C1F">
        <w:rPr>
          <w:color w:val="1A1A1A"/>
          <w:sz w:val="22"/>
        </w:rPr>
        <w:t xml:space="preserve"> outras condições. Entre as complicações destaca-se a crise hipercalcêmica, associada ao cálcio sérico maior de 14 mg/dL. O manejo inicial baseia-se na expansão volêmica e uso de bisfosfonato IV. </w:t>
      </w:r>
      <w:r w:rsidRPr="00416C1F">
        <w:rPr>
          <w:b/>
          <w:color w:val="1A1A1A"/>
          <w:sz w:val="22"/>
        </w:rPr>
        <w:t>Considerações finais:</w:t>
      </w:r>
      <w:r w:rsidRPr="00416C1F">
        <w:rPr>
          <w:color w:val="1A1A1A"/>
          <w:sz w:val="22"/>
        </w:rPr>
        <w:t xml:space="preserve"> A hipercalcemia grave associada ao hiperparatireoidismo primário é uma condição potencialmente grave e rara. Este caso reforça </w:t>
      </w:r>
      <w:proofErr w:type="gramStart"/>
      <w:r w:rsidRPr="00416C1F">
        <w:rPr>
          <w:color w:val="1A1A1A"/>
          <w:sz w:val="22"/>
        </w:rPr>
        <w:t>a</w:t>
      </w:r>
      <w:proofErr w:type="gramEnd"/>
      <w:r w:rsidRPr="00416C1F">
        <w:rPr>
          <w:color w:val="1A1A1A"/>
          <w:sz w:val="22"/>
        </w:rPr>
        <w:t xml:space="preserve"> importância de considerar esse diagnóstico mesmo diante de manifestações clínicas inespecíficas, a fim de evitar desfechos adversos.</w:t>
      </w:r>
    </w:p>
    <w:p w:rsidR="000B5910" w:rsidRDefault="000B5910">
      <w:pPr>
        <w:pBdr>
          <w:bottom w:val="single" w:sz="4" w:space="2" w:color="808080"/>
        </w:pBdr>
        <w:spacing w:before="12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Universidade de Caxias do Sul</w:t>
      </w:r>
    </w:p>
    <w:p w:rsidR="000B5910" w:rsidRDefault="000B5910">
      <w:pPr>
        <w:sectPr w:rsidR="000B5910">
          <w:headerReference w:type="default" r:id="rId159"/>
          <w:footerReference w:type="default" r:id="rId16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IMPACTO DO ENVELHECIMENTO POPULACIONAL NAS INTERNAÇÕES POR FRATURA DE FÊMUR EM IDOSOS NO RIO GRANDE DO SUL: ANÁLISE EPIDEMIOLÓGICA</w:t>
      </w:r>
    </w:p>
    <w:p w:rsidR="000B5910" w:rsidRPr="00416C1F" w:rsidRDefault="00057F5C">
      <w:pPr>
        <w:spacing w:after="40" w:line="252" w:lineRule="auto"/>
        <w:jc w:val="right"/>
        <w:rPr>
          <w:szCs w:val="21"/>
        </w:rPr>
      </w:pPr>
      <w:r w:rsidRPr="00416C1F">
        <w:rPr>
          <w:color w:val="1A1A1A"/>
          <w:szCs w:val="21"/>
        </w:rPr>
        <w:t>Rebeca Manoela Matzenbacher</w:t>
      </w:r>
      <w:r w:rsidRPr="00416C1F">
        <w:rPr>
          <w:color w:val="1A1A1A"/>
          <w:szCs w:val="21"/>
          <w:vertAlign w:val="superscript"/>
        </w:rPr>
        <w:t>1</w:t>
      </w:r>
      <w:r w:rsidRPr="00416C1F">
        <w:rPr>
          <w:szCs w:val="21"/>
        </w:rPr>
        <w:br/>
      </w:r>
      <w:r w:rsidRPr="00416C1F">
        <w:rPr>
          <w:color w:val="1A1A1A"/>
          <w:szCs w:val="21"/>
        </w:rPr>
        <w:t>Bernardo Sturza Parodes</w:t>
      </w:r>
      <w:r w:rsidRPr="00416C1F">
        <w:rPr>
          <w:color w:val="1A1A1A"/>
          <w:szCs w:val="21"/>
          <w:vertAlign w:val="superscript"/>
        </w:rPr>
        <w:t>1</w:t>
      </w:r>
      <w:r w:rsidRPr="00416C1F">
        <w:rPr>
          <w:szCs w:val="21"/>
        </w:rPr>
        <w:br/>
      </w:r>
      <w:r w:rsidRPr="00416C1F">
        <w:rPr>
          <w:color w:val="1A1A1A"/>
          <w:szCs w:val="21"/>
        </w:rPr>
        <w:t>Renata Schimuneck</w:t>
      </w:r>
      <w:r w:rsidRPr="00416C1F">
        <w:rPr>
          <w:color w:val="1A1A1A"/>
          <w:szCs w:val="21"/>
          <w:vertAlign w:val="superscript"/>
        </w:rPr>
        <w:t>1</w:t>
      </w:r>
      <w:r w:rsidRPr="00416C1F">
        <w:rPr>
          <w:szCs w:val="21"/>
        </w:rPr>
        <w:br/>
      </w:r>
      <w:r w:rsidRPr="00416C1F">
        <w:rPr>
          <w:color w:val="1A1A1A"/>
          <w:szCs w:val="21"/>
        </w:rPr>
        <w:t>Taís Comin de Bastiani</w:t>
      </w:r>
      <w:r w:rsidRPr="00416C1F">
        <w:rPr>
          <w:color w:val="1A1A1A"/>
          <w:szCs w:val="21"/>
          <w:vertAlign w:val="superscript"/>
        </w:rPr>
        <w:t>1</w:t>
      </w:r>
      <w:r w:rsidRPr="00416C1F">
        <w:rPr>
          <w:szCs w:val="21"/>
        </w:rPr>
        <w:br/>
      </w:r>
      <w:r w:rsidRPr="00416C1F">
        <w:rPr>
          <w:color w:val="1A1A1A"/>
          <w:szCs w:val="21"/>
        </w:rPr>
        <w:t>Mateus Augusto dos Reis</w:t>
      </w:r>
      <w:r w:rsidRPr="00416C1F">
        <w:rPr>
          <w:color w:val="1A1A1A"/>
          <w:szCs w:val="21"/>
          <w:vertAlign w:val="superscript"/>
        </w:rPr>
        <w:t>1</w:t>
      </w:r>
    </w:p>
    <w:p w:rsidR="000B5910" w:rsidRDefault="00057F5C">
      <w:pPr>
        <w:spacing w:before="240" w:after="100"/>
      </w:pPr>
      <w:r>
        <w:rPr>
          <w:b/>
          <w:color w:val="1A1A1A"/>
          <w:sz w:val="22"/>
        </w:rPr>
        <w:t>RESUMO</w:t>
      </w:r>
    </w:p>
    <w:p w:rsidR="000B5910" w:rsidRPr="00416C1F" w:rsidRDefault="00057F5C">
      <w:pPr>
        <w:spacing w:after="80"/>
        <w:jc w:val="both"/>
        <w:rPr>
          <w:sz w:val="22"/>
        </w:rPr>
      </w:pPr>
      <w:r w:rsidRPr="00416C1F">
        <w:rPr>
          <w:b/>
          <w:color w:val="1A1A1A"/>
          <w:sz w:val="22"/>
        </w:rPr>
        <w:t xml:space="preserve">Introdução: </w:t>
      </w:r>
      <w:r w:rsidRPr="00416C1F">
        <w:rPr>
          <w:color w:val="1A1A1A"/>
          <w:sz w:val="22"/>
        </w:rPr>
        <w:t xml:space="preserve">O envelhecimento populacional constitui uma das principais transformações demográficas observadas nas últimas décadas no Brasil. Nesse contexto, observa-se aumento na prevalência de doenças crônicas, especialmente </w:t>
      </w:r>
      <w:proofErr w:type="gramStart"/>
      <w:r w:rsidRPr="00416C1F">
        <w:rPr>
          <w:color w:val="1A1A1A"/>
          <w:sz w:val="22"/>
        </w:rPr>
        <w:t>a</w:t>
      </w:r>
      <w:proofErr w:type="gramEnd"/>
      <w:r w:rsidRPr="00416C1F">
        <w:rPr>
          <w:color w:val="1A1A1A"/>
          <w:sz w:val="22"/>
        </w:rPr>
        <w:t xml:space="preserve"> osteoporose. Essa condição caracteriza-se pela redução da densidade mineral óssea e pelo aumento do risco de fraturas por fragilidade, entre as quais se destacam as fraturas de fêmur proximal, associadas </w:t>
      </w:r>
      <w:proofErr w:type="gramStart"/>
      <w:r w:rsidRPr="00416C1F">
        <w:rPr>
          <w:color w:val="1A1A1A"/>
          <w:sz w:val="22"/>
        </w:rPr>
        <w:t>a</w:t>
      </w:r>
      <w:proofErr w:type="gramEnd"/>
      <w:r w:rsidRPr="00416C1F">
        <w:rPr>
          <w:color w:val="1A1A1A"/>
          <w:sz w:val="22"/>
        </w:rPr>
        <w:t xml:space="preserve"> elevada morbidade, mortalidade e altas taxas de hospitalização em idosos. Dessa forma, torna-se fundamental compreender o comportamento epidemiológico dessas internações e sua relação com o envelhecimento populacional. </w:t>
      </w:r>
      <w:r w:rsidRPr="00416C1F">
        <w:rPr>
          <w:b/>
          <w:color w:val="1A1A1A"/>
          <w:sz w:val="22"/>
        </w:rPr>
        <w:t xml:space="preserve">Objetivo: </w:t>
      </w:r>
      <w:r w:rsidRPr="00416C1F">
        <w:rPr>
          <w:color w:val="1A1A1A"/>
          <w:sz w:val="22"/>
        </w:rPr>
        <w:t xml:space="preserve">O presente estudo teve como objetivo analisar o perfil epidemiológico das internações por fratura de fêmur no Rio Grande do Sul entre 2020 e 2025, segundo tendência temporal, faixa etária e sexo. </w:t>
      </w:r>
      <w:r w:rsidRPr="00416C1F">
        <w:rPr>
          <w:b/>
          <w:color w:val="1A1A1A"/>
          <w:sz w:val="22"/>
        </w:rPr>
        <w:t xml:space="preserve">Métodos: </w:t>
      </w:r>
      <w:r w:rsidRPr="00416C1F">
        <w:rPr>
          <w:color w:val="1A1A1A"/>
          <w:sz w:val="22"/>
        </w:rPr>
        <w:t xml:space="preserve">Trata-se de uma análise epidemiológica descritiva baseada em dados do DATASUS (SIH/SUS), analisando internações por fratura de fêmur no Rio Grande do Sul entre 2020 e 2025, segundo faixa etária, sexo e número anual de casos, apresentados em frequências absoluta e relativa. </w:t>
      </w:r>
      <w:r w:rsidRPr="00416C1F">
        <w:rPr>
          <w:b/>
          <w:color w:val="1A1A1A"/>
          <w:sz w:val="22"/>
        </w:rPr>
        <w:t xml:space="preserve">Resultados: </w:t>
      </w:r>
      <w:r w:rsidRPr="00416C1F">
        <w:rPr>
          <w:color w:val="1A1A1A"/>
          <w:sz w:val="22"/>
        </w:rPr>
        <w:t xml:space="preserve">Observou-se crescimento progressivo das internações ao longo do período, passando de 3.766 casos em 2021 para 5.081 em 2025. A distribuição por faixa etária demonstrou aumento expressivo com o avanço da idade: 1.288 internações entre 20 e 40 anos (13,9%), 1.128 entre 40 e 60 anos (12,2%), 3.564 entre 60 e 80 anos (38,5%) e 3.280 em indivíduos com 80 anos ou mais (35,4%). Verificou-se que 6.844 internações ocorreram em indivíduos com idade igual ou superior a 60 anos, correspondendo a 73,9% de todos os casos registrados. Entre os idosos, verificou-se predominância significativa do sexo feminino, com 5.081 internações em mulheres (74,2%), refletindo a maior prevalência de osteoporose em mulheres, especialmente no período pós-menopausa. </w:t>
      </w:r>
      <w:r w:rsidRPr="00416C1F">
        <w:rPr>
          <w:b/>
          <w:color w:val="1A1A1A"/>
          <w:sz w:val="22"/>
        </w:rPr>
        <w:t xml:space="preserve">Conclusão: </w:t>
      </w:r>
      <w:r w:rsidRPr="00416C1F">
        <w:rPr>
          <w:color w:val="1A1A1A"/>
          <w:sz w:val="22"/>
        </w:rPr>
        <w:t>Conclui-se que as internações por fratura de fêmur no Rio Grande do Sul concentram-se predominantemente na população idosa, com predominância feminina e tendência crescente nos últimos anos, evidenciando a relação entre envelhecimento populacional e fraturas associadas à fragilidade óssea. Esses resultados reforçam a necessidade de estratégias de saúde pública voltadas ao rastreamento, diagnóstico precoce e tratamento da osteoporose, bem como à implementação de programas de prevenção de quedas em idosos, com potencial para reduzir hospitalizações, morbidade e custos ao sistema de saúde.</w:t>
      </w:r>
    </w:p>
    <w:p w:rsidR="000B5910" w:rsidRDefault="000B5910">
      <w:pPr>
        <w:pBdr>
          <w:bottom w:val="single" w:sz="4" w:space="2" w:color="808080"/>
        </w:pBdr>
        <w:spacing w:before="16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Universidade Feevale</w:t>
      </w:r>
    </w:p>
    <w:p w:rsidR="000B5910" w:rsidRDefault="000B5910">
      <w:pPr>
        <w:sectPr w:rsidR="000B5910">
          <w:headerReference w:type="default" r:id="rId161"/>
          <w:footerReference w:type="default" r:id="rId16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MANIFESTAÇÃO ÓSSEA RARA DO HIPERPARATIREOIDISMO PRIMÁRIO: TUMOR MARROM NO PRIMEIRO METATARSO – RELATO DE CASO E REVISÃO DA LITERATURA</w:t>
      </w:r>
    </w:p>
    <w:p w:rsidR="000B5910" w:rsidRPr="00416C1F" w:rsidRDefault="00057F5C">
      <w:pPr>
        <w:spacing w:after="40" w:line="252" w:lineRule="auto"/>
        <w:jc w:val="right"/>
        <w:rPr>
          <w:szCs w:val="21"/>
        </w:rPr>
      </w:pPr>
      <w:r w:rsidRPr="00416C1F">
        <w:rPr>
          <w:color w:val="1A1A1A"/>
          <w:szCs w:val="21"/>
        </w:rPr>
        <w:t>Bernardo Sturza Parodes</w:t>
      </w:r>
      <w:r w:rsidRPr="00416C1F">
        <w:rPr>
          <w:color w:val="1A1A1A"/>
          <w:szCs w:val="21"/>
          <w:vertAlign w:val="superscript"/>
        </w:rPr>
        <w:t>1</w:t>
      </w:r>
      <w:r w:rsidRPr="00416C1F">
        <w:rPr>
          <w:szCs w:val="21"/>
        </w:rPr>
        <w:br/>
      </w:r>
      <w:r w:rsidRPr="00416C1F">
        <w:rPr>
          <w:color w:val="1A1A1A"/>
          <w:szCs w:val="21"/>
        </w:rPr>
        <w:t>Rebeca Manoela Matzenbacher</w:t>
      </w:r>
      <w:r w:rsidRPr="00416C1F">
        <w:rPr>
          <w:color w:val="1A1A1A"/>
          <w:szCs w:val="21"/>
          <w:vertAlign w:val="superscript"/>
        </w:rPr>
        <w:t>1</w:t>
      </w:r>
      <w:r w:rsidRPr="00416C1F">
        <w:rPr>
          <w:szCs w:val="21"/>
        </w:rPr>
        <w:br/>
      </w:r>
      <w:r w:rsidRPr="00416C1F">
        <w:rPr>
          <w:color w:val="1A1A1A"/>
          <w:szCs w:val="21"/>
        </w:rPr>
        <w:t>Taís Comin de Bastiani</w:t>
      </w:r>
      <w:r w:rsidRPr="00416C1F">
        <w:rPr>
          <w:color w:val="1A1A1A"/>
          <w:szCs w:val="21"/>
          <w:vertAlign w:val="superscript"/>
        </w:rPr>
        <w:t>1</w:t>
      </w:r>
      <w:r w:rsidRPr="00416C1F">
        <w:rPr>
          <w:szCs w:val="21"/>
        </w:rPr>
        <w:br/>
      </w:r>
      <w:r w:rsidRPr="00416C1F">
        <w:rPr>
          <w:color w:val="1A1A1A"/>
          <w:szCs w:val="21"/>
        </w:rPr>
        <w:t>Eduardo da Silva Rodrigues</w:t>
      </w:r>
      <w:r w:rsidRPr="00416C1F">
        <w:rPr>
          <w:color w:val="1A1A1A"/>
          <w:szCs w:val="21"/>
          <w:vertAlign w:val="superscript"/>
        </w:rPr>
        <w:t>1</w:t>
      </w:r>
      <w:r w:rsidRPr="00416C1F">
        <w:rPr>
          <w:szCs w:val="21"/>
        </w:rPr>
        <w:br/>
      </w:r>
      <w:r w:rsidRPr="00416C1F">
        <w:rPr>
          <w:color w:val="1A1A1A"/>
          <w:szCs w:val="21"/>
        </w:rPr>
        <w:t>Renata Schimuneck</w:t>
      </w:r>
      <w:r w:rsidRPr="00416C1F">
        <w:rPr>
          <w:color w:val="1A1A1A"/>
          <w:szCs w:val="21"/>
          <w:vertAlign w:val="superscript"/>
        </w:rPr>
        <w:t>1</w:t>
      </w:r>
    </w:p>
    <w:p w:rsidR="000B5910" w:rsidRDefault="00057F5C">
      <w:pPr>
        <w:spacing w:before="200" w:after="100"/>
      </w:pPr>
      <w:r>
        <w:rPr>
          <w:b/>
          <w:color w:val="1A1A1A"/>
          <w:sz w:val="22"/>
          <w:szCs w:val="24"/>
        </w:rPr>
        <w:t>RESUMO</w:t>
      </w:r>
    </w:p>
    <w:p w:rsidR="000B5910" w:rsidRPr="00416C1F" w:rsidRDefault="00057F5C">
      <w:pPr>
        <w:spacing w:after="80" w:line="264" w:lineRule="auto"/>
        <w:jc w:val="both"/>
        <w:rPr>
          <w:sz w:val="22"/>
          <w:szCs w:val="21"/>
        </w:rPr>
      </w:pPr>
      <w:r w:rsidRPr="00416C1F">
        <w:rPr>
          <w:b/>
          <w:color w:val="1A1A1A"/>
          <w:sz w:val="22"/>
          <w:szCs w:val="21"/>
        </w:rPr>
        <w:t xml:space="preserve">Apresentação do Caso e Discussão: </w:t>
      </w:r>
      <w:r w:rsidRPr="00416C1F">
        <w:rPr>
          <w:color w:val="1A1A1A"/>
          <w:sz w:val="22"/>
          <w:szCs w:val="21"/>
        </w:rPr>
        <w:t xml:space="preserve">O tumor marrom (TM) é uma lesão óssea benigna associada ao hiperparatireoidismo, resultante do aumento crônico do paratormônio (PTH), que promove intensa reabsorção óssea e substituição do tecido ósseo por estroma fibrovascular, células gigantes multinucleadas e depósitos de hemossiderina. A principal causa é o hiperparatireoidismo primário, frequentemente decorrente de adenoma de paratireoide. Essas lesões são mais descritas em mandíbula, costelas, pelve e clavícula, sendo o acometimento de ossos do pé extremamente raro e potencialmente confundido com lesões neoplásicas ou outras alterações osteolíticas. O presente estudo tem como objetivo relatar um caso de TM localizado no primeiro metatarso, destacando seus aspectos clínicos, laboratoriais e radiológicos, além de discutir o diagnóstico diferencial e </w:t>
      </w:r>
      <w:proofErr w:type="gramStart"/>
      <w:r w:rsidRPr="00416C1F">
        <w:rPr>
          <w:color w:val="1A1A1A"/>
          <w:sz w:val="22"/>
          <w:szCs w:val="21"/>
        </w:rPr>
        <w:t>a</w:t>
      </w:r>
      <w:proofErr w:type="gramEnd"/>
      <w:r w:rsidRPr="00416C1F">
        <w:rPr>
          <w:color w:val="1A1A1A"/>
          <w:sz w:val="22"/>
          <w:szCs w:val="21"/>
        </w:rPr>
        <w:t xml:space="preserve"> importância do reconhecimento dessa manifestação do hiperparatireoidismo. Trata-se de um paciente do sexo masculino, 50 anos, previamente hígido, que apresentou dor progressiva no pé direito após trauma contuso três meses antes da avaliação, evoluindo com limitação funcional para deambulação. A radiografia evidenciou lesão osteolítica expansiva no primeiro metatarso, com rarefação cortical. A ressonância magnética demonstrou lesão expansiva heterogênea com nível líquido-líquido, sugerindo componente hemorrágico intracavitário. Inicialmente foram consideradas hipóteses diagnósticas como tumor de células gigantes e cisto ósseo aneurismático. </w:t>
      </w:r>
      <w:proofErr w:type="gramStart"/>
      <w:r w:rsidRPr="00416C1F">
        <w:rPr>
          <w:color w:val="1A1A1A"/>
          <w:sz w:val="22"/>
          <w:szCs w:val="21"/>
        </w:rPr>
        <w:t>A</w:t>
      </w:r>
      <w:proofErr w:type="gramEnd"/>
      <w:r w:rsidRPr="00416C1F">
        <w:rPr>
          <w:color w:val="1A1A1A"/>
          <w:sz w:val="22"/>
          <w:szCs w:val="21"/>
        </w:rPr>
        <w:t xml:space="preserve"> investigação laboratorial revelou hipercalcemia significativa associada a níveis elevados de PTH, levantando a hipótese de hiperparatireoidismo. Foi realizada biópsia óssea, cujo exame anatomopatológico demonstrou estroma fibrovascular com abundantes células gigantes multinucleadas do tipo osteoclástico e depósitos de hemossiderina, achados compatíveis com TM. </w:t>
      </w:r>
      <w:proofErr w:type="gramStart"/>
      <w:r w:rsidRPr="00416C1F">
        <w:rPr>
          <w:color w:val="1A1A1A"/>
          <w:sz w:val="22"/>
          <w:szCs w:val="21"/>
        </w:rPr>
        <w:t>A</w:t>
      </w:r>
      <w:proofErr w:type="gramEnd"/>
      <w:r w:rsidRPr="00416C1F">
        <w:rPr>
          <w:color w:val="1A1A1A"/>
          <w:sz w:val="22"/>
          <w:szCs w:val="21"/>
        </w:rPr>
        <w:t xml:space="preserve"> investigação etiológica subsequente confirmou a presença de adenoma de paratireoide. O diagnóstico diferencial inclui cisto ósseo aneurismático, tumor de células gigantes e lesões metastáticas, especialmente quando a lesão ocorre em sítios incomuns. O reconhecimento do TM como manifestação esquelética do hiperparatireoidismo é fundamental, pois o tratamento da causa endócrina subjacente pode levar à regressão ou estabilização da lesão óssea. </w:t>
      </w:r>
      <w:r w:rsidRPr="00416C1F">
        <w:rPr>
          <w:b/>
          <w:color w:val="1A1A1A"/>
          <w:sz w:val="22"/>
          <w:szCs w:val="21"/>
        </w:rPr>
        <w:t>Considerações finais:</w:t>
      </w:r>
      <w:r w:rsidRPr="00416C1F">
        <w:rPr>
          <w:color w:val="1A1A1A"/>
          <w:sz w:val="22"/>
          <w:szCs w:val="21"/>
        </w:rPr>
        <w:t xml:space="preserve"> Este caso reforça </w:t>
      </w:r>
      <w:proofErr w:type="gramStart"/>
      <w:r w:rsidRPr="00416C1F">
        <w:rPr>
          <w:color w:val="1A1A1A"/>
          <w:sz w:val="22"/>
          <w:szCs w:val="21"/>
        </w:rPr>
        <w:t>a</w:t>
      </w:r>
      <w:proofErr w:type="gramEnd"/>
      <w:r w:rsidRPr="00416C1F">
        <w:rPr>
          <w:color w:val="1A1A1A"/>
          <w:sz w:val="22"/>
          <w:szCs w:val="21"/>
        </w:rPr>
        <w:t xml:space="preserve"> importância da integração entre achados clínicos, laboratoriais, radiológicos e histopatológicos para diagnóstico adequado e manejo oportuno, especialmente em localizações atípicas como o metatarso.</w:t>
      </w:r>
    </w:p>
    <w:p w:rsidR="000B5910" w:rsidRDefault="000B5910">
      <w:pPr>
        <w:pBdr>
          <w:bottom w:val="single" w:sz="4" w:space="2" w:color="808080"/>
        </w:pBdr>
        <w:spacing w:before="12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Universidade Feevale</w:t>
      </w:r>
    </w:p>
    <w:p w:rsidR="000B5910" w:rsidRDefault="000B5910">
      <w:pPr>
        <w:sectPr w:rsidR="000B5910">
          <w:headerReference w:type="default" r:id="rId163"/>
          <w:footerReference w:type="default" r:id="rId16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TENDÊNCIA TEMPORAL E PERFIL EPIDEMIOLÓGICO DAS INTERNAÇÕES POR FRATURA DE FÊMUR EM IDOSOS NO</w:t>
      </w:r>
      <w:r w:rsidR="0064145B">
        <w:rPr>
          <w:b/>
          <w:color w:val="1A1A1A"/>
          <w:sz w:val="28"/>
          <w:szCs w:val="24"/>
          <w:lang w:val="pt-BR"/>
        </w:rPr>
        <w:t xml:space="preserve"> </w:t>
      </w:r>
      <w:r>
        <w:rPr>
          <w:b/>
          <w:color w:val="1A1A1A"/>
          <w:sz w:val="28"/>
          <w:szCs w:val="24"/>
        </w:rPr>
        <w:t>RIO GRANDE DO SUL ENTRE 2015 E 2024</w:t>
      </w:r>
    </w:p>
    <w:p w:rsidR="000B5910" w:rsidRPr="00416C1F" w:rsidRDefault="00057F5C" w:rsidP="00416C1F">
      <w:pPr>
        <w:spacing w:after="40" w:line="240" w:lineRule="auto"/>
        <w:jc w:val="right"/>
        <w:rPr>
          <w:szCs w:val="21"/>
        </w:rPr>
      </w:pPr>
      <w:r w:rsidRPr="00416C1F">
        <w:rPr>
          <w:color w:val="1A1A1A"/>
          <w:szCs w:val="21"/>
        </w:rPr>
        <w:t>Hans Makki Weinert</w:t>
      </w:r>
      <w:r w:rsidRPr="00416C1F">
        <w:rPr>
          <w:color w:val="1A1A1A"/>
          <w:szCs w:val="21"/>
          <w:vertAlign w:val="superscript"/>
        </w:rPr>
        <w:t>1</w:t>
      </w:r>
      <w:r w:rsidRPr="00416C1F">
        <w:rPr>
          <w:szCs w:val="21"/>
        </w:rPr>
        <w:br/>
      </w:r>
      <w:r w:rsidRPr="00416C1F">
        <w:rPr>
          <w:color w:val="1A1A1A"/>
          <w:szCs w:val="21"/>
        </w:rPr>
        <w:t>Guilherme Rauch Magalhães</w:t>
      </w:r>
      <w:r w:rsidRPr="00416C1F">
        <w:rPr>
          <w:color w:val="1A1A1A"/>
          <w:szCs w:val="21"/>
          <w:vertAlign w:val="superscript"/>
        </w:rPr>
        <w:t>1</w:t>
      </w:r>
      <w:r w:rsidRPr="00416C1F">
        <w:rPr>
          <w:szCs w:val="21"/>
        </w:rPr>
        <w:br/>
      </w:r>
      <w:r w:rsidRPr="00416C1F">
        <w:rPr>
          <w:color w:val="1A1A1A"/>
          <w:szCs w:val="21"/>
        </w:rPr>
        <w:t>Giovana Scussel</w:t>
      </w:r>
      <w:r w:rsidRPr="00416C1F">
        <w:rPr>
          <w:color w:val="1A1A1A"/>
          <w:szCs w:val="21"/>
          <w:vertAlign w:val="superscript"/>
        </w:rPr>
        <w:t>1</w:t>
      </w:r>
      <w:r w:rsidRPr="00416C1F">
        <w:rPr>
          <w:szCs w:val="21"/>
        </w:rPr>
        <w:br/>
      </w:r>
      <w:r w:rsidRPr="00416C1F">
        <w:rPr>
          <w:color w:val="1A1A1A"/>
          <w:szCs w:val="21"/>
        </w:rPr>
        <w:t>Arthur Chiodelli</w:t>
      </w:r>
      <w:r w:rsidRPr="00416C1F">
        <w:rPr>
          <w:color w:val="1A1A1A"/>
          <w:szCs w:val="21"/>
          <w:vertAlign w:val="superscript"/>
        </w:rPr>
        <w:t>1</w:t>
      </w:r>
      <w:r w:rsidRPr="00416C1F">
        <w:rPr>
          <w:szCs w:val="21"/>
        </w:rPr>
        <w:br/>
      </w:r>
      <w:r w:rsidRPr="00416C1F">
        <w:rPr>
          <w:color w:val="1A1A1A"/>
          <w:szCs w:val="21"/>
        </w:rPr>
        <w:t>Georgia Baseggio Tagliari</w:t>
      </w:r>
      <w:r w:rsidRPr="00416C1F">
        <w:rPr>
          <w:color w:val="1A1A1A"/>
          <w:szCs w:val="21"/>
          <w:vertAlign w:val="superscript"/>
        </w:rPr>
        <w:t>1</w:t>
      </w:r>
      <w:r w:rsidRPr="00416C1F">
        <w:rPr>
          <w:szCs w:val="21"/>
        </w:rPr>
        <w:br/>
      </w:r>
      <w:r w:rsidRPr="00416C1F">
        <w:rPr>
          <w:color w:val="1A1A1A"/>
          <w:szCs w:val="21"/>
        </w:rPr>
        <w:t>Pâmela Toso Meira</w:t>
      </w:r>
      <w:r w:rsidRPr="00416C1F">
        <w:rPr>
          <w:color w:val="1A1A1A"/>
          <w:szCs w:val="21"/>
          <w:vertAlign w:val="superscript"/>
        </w:rPr>
        <w:t>1</w:t>
      </w:r>
      <w:r w:rsidRPr="00416C1F">
        <w:rPr>
          <w:szCs w:val="21"/>
        </w:rPr>
        <w:br/>
      </w:r>
      <w:r w:rsidRPr="00416C1F">
        <w:rPr>
          <w:color w:val="1A1A1A"/>
          <w:szCs w:val="21"/>
        </w:rPr>
        <w:t>Giancarlo Canello Guerra</w:t>
      </w:r>
      <w:r w:rsidRPr="00416C1F">
        <w:rPr>
          <w:color w:val="1A1A1A"/>
          <w:szCs w:val="21"/>
          <w:vertAlign w:val="superscript"/>
        </w:rPr>
        <w:t>1</w:t>
      </w:r>
      <w:r w:rsidRPr="00416C1F">
        <w:rPr>
          <w:szCs w:val="21"/>
        </w:rPr>
        <w:br/>
      </w:r>
      <w:r w:rsidRPr="00416C1F">
        <w:rPr>
          <w:color w:val="1A1A1A"/>
          <w:szCs w:val="21"/>
        </w:rPr>
        <w:t>Izadora Luiza Kunzler</w:t>
      </w:r>
      <w:r w:rsidRPr="00416C1F">
        <w:rPr>
          <w:color w:val="1A1A1A"/>
          <w:szCs w:val="21"/>
          <w:vertAlign w:val="superscript"/>
        </w:rPr>
        <w:t>1</w:t>
      </w:r>
      <w:r w:rsidRPr="00416C1F">
        <w:rPr>
          <w:szCs w:val="21"/>
        </w:rPr>
        <w:br/>
      </w:r>
      <w:r w:rsidRPr="00416C1F">
        <w:rPr>
          <w:color w:val="1A1A1A"/>
          <w:szCs w:val="21"/>
        </w:rPr>
        <w:t>Ana Flávia Orlandini</w:t>
      </w:r>
      <w:r w:rsidRPr="00416C1F">
        <w:rPr>
          <w:color w:val="1A1A1A"/>
          <w:szCs w:val="21"/>
          <w:vertAlign w:val="superscript"/>
        </w:rPr>
        <w:t>1</w:t>
      </w:r>
      <w:r w:rsidRPr="00416C1F">
        <w:rPr>
          <w:szCs w:val="21"/>
        </w:rPr>
        <w:br/>
      </w:r>
      <w:r w:rsidRPr="00416C1F">
        <w:rPr>
          <w:color w:val="1A1A1A"/>
          <w:szCs w:val="21"/>
        </w:rPr>
        <w:t>Laura Zin</w:t>
      </w:r>
      <w:r w:rsidRPr="00416C1F">
        <w:rPr>
          <w:color w:val="1A1A1A"/>
          <w:szCs w:val="21"/>
          <w:vertAlign w:val="superscript"/>
        </w:rPr>
        <w:t>1</w:t>
      </w:r>
      <w:r w:rsidRPr="00416C1F">
        <w:rPr>
          <w:szCs w:val="21"/>
        </w:rPr>
        <w:br/>
      </w:r>
      <w:r w:rsidRPr="00416C1F">
        <w:rPr>
          <w:color w:val="1A1A1A"/>
          <w:szCs w:val="21"/>
        </w:rPr>
        <w:t>Pedro Bilhar</w:t>
      </w:r>
      <w:r w:rsidRPr="00416C1F">
        <w:rPr>
          <w:color w:val="1A1A1A"/>
          <w:szCs w:val="21"/>
          <w:vertAlign w:val="superscript"/>
        </w:rPr>
        <w:t>1</w:t>
      </w:r>
      <w:r w:rsidRPr="00416C1F">
        <w:rPr>
          <w:szCs w:val="21"/>
        </w:rPr>
        <w:br/>
      </w:r>
      <w:r w:rsidRPr="00416C1F">
        <w:rPr>
          <w:color w:val="1A1A1A"/>
          <w:szCs w:val="21"/>
        </w:rPr>
        <w:t>Andressa da Rosa Schein</w:t>
      </w:r>
      <w:r w:rsidRPr="00416C1F">
        <w:rPr>
          <w:color w:val="1A1A1A"/>
          <w:szCs w:val="21"/>
          <w:vertAlign w:val="superscript"/>
        </w:rPr>
        <w:t>1</w:t>
      </w:r>
    </w:p>
    <w:p w:rsidR="000B5910" w:rsidRDefault="00057F5C" w:rsidP="00416C1F">
      <w:pPr>
        <w:spacing w:before="200" w:after="100" w:line="240" w:lineRule="auto"/>
      </w:pPr>
      <w:r>
        <w:rPr>
          <w:b/>
          <w:color w:val="1A1A1A"/>
          <w:sz w:val="22"/>
          <w:szCs w:val="24"/>
        </w:rPr>
        <w:t>RESUMO</w:t>
      </w:r>
    </w:p>
    <w:p w:rsidR="000B5910" w:rsidRPr="00416C1F" w:rsidRDefault="00057F5C" w:rsidP="00416C1F">
      <w:pPr>
        <w:spacing w:after="80" w:line="240" w:lineRule="auto"/>
        <w:jc w:val="both"/>
        <w:rPr>
          <w:sz w:val="22"/>
          <w:szCs w:val="21"/>
        </w:rPr>
      </w:pPr>
      <w:r w:rsidRPr="00416C1F">
        <w:rPr>
          <w:b/>
          <w:color w:val="1A1A1A"/>
          <w:sz w:val="22"/>
          <w:szCs w:val="21"/>
        </w:rPr>
        <w:t xml:space="preserve">Introdução: </w:t>
      </w:r>
      <w:r w:rsidRPr="00416C1F">
        <w:rPr>
          <w:color w:val="1A1A1A"/>
          <w:sz w:val="22"/>
          <w:szCs w:val="21"/>
        </w:rPr>
        <w:t>As fraturas de fêmur em idosos representam uma das principais complicações da osteoporose, configurando importante problema de saúde pública. Estão associadas ao aumento da morbimortalidade, perda de funcionalidade e elevado impacto econômico. Nesse contexto, torna-se fundamental compreender sua evolução temporal e características epidemiológicas. Este estudo objetiva analisar a tendência temporal e o perfil epidemiológico das internações por fratura de fêmur em idosos no Rio Grande do Sul entre 2015 e 2024.</w:t>
      </w:r>
      <w:r w:rsidRPr="00416C1F">
        <w:rPr>
          <w:b/>
          <w:color w:val="1A1A1A"/>
          <w:sz w:val="22"/>
          <w:szCs w:val="21"/>
        </w:rPr>
        <w:t xml:space="preserve"> Objetivo: </w:t>
      </w:r>
      <w:r w:rsidRPr="00416C1F">
        <w:rPr>
          <w:color w:val="1A1A1A"/>
          <w:sz w:val="22"/>
          <w:szCs w:val="21"/>
        </w:rPr>
        <w:t xml:space="preserve">Analisar a tendência temporal e o perfil epidemiológico das internações por fratura de fêmur em idosos no Rio Grande do Sul entre 2015 e 2024. </w:t>
      </w:r>
      <w:r w:rsidRPr="00416C1F">
        <w:rPr>
          <w:b/>
          <w:color w:val="1A1A1A"/>
          <w:sz w:val="22"/>
          <w:szCs w:val="21"/>
        </w:rPr>
        <w:t xml:space="preserve">Métodos: </w:t>
      </w:r>
      <w:r w:rsidRPr="00416C1F">
        <w:rPr>
          <w:color w:val="1A1A1A"/>
          <w:sz w:val="22"/>
          <w:szCs w:val="21"/>
        </w:rPr>
        <w:t xml:space="preserve">Estudo observacional, retrospectivo, de série temporal, baseado em dados do SIH/SUS (DATASUS). Foram incluídas internações por fratura de fêmur (CID-10 S72.0) em indivíduos ≥60 anos no Rio Grande do Sul, entre 2015 e 2024. Foram analisadas variáveis como número de internações, sexo, faixa etária, óbitos hospitalares e custos. As taxas foram calculadas por 100.000 idosos com base em estimativas do IBGE. Por se tratar de banco de dados público, não houve necessidade de aprovação por Comitê de Ética. </w:t>
      </w:r>
      <w:r w:rsidRPr="00416C1F">
        <w:rPr>
          <w:b/>
          <w:color w:val="1A1A1A"/>
          <w:sz w:val="22"/>
          <w:szCs w:val="21"/>
        </w:rPr>
        <w:t xml:space="preserve">Resultados: </w:t>
      </w:r>
      <w:r w:rsidRPr="00416C1F">
        <w:rPr>
          <w:color w:val="1A1A1A"/>
          <w:sz w:val="22"/>
          <w:szCs w:val="21"/>
        </w:rPr>
        <w:t xml:space="preserve">Foram registradas 51.088 internações, com média anual de 5.108,8 casos e taxa aproximada de 243/100.000 idosos/ano. Houve aumento de 44,2% no período (4.221 em 2015 para 6.088 em 2024). Ocorreram 2.188 óbitos hospitalares, com taxa de mortalidade de 4,28%. Indivíduos ≥80 anos concentraram 69,5% dos óbitos e apresentaram maior mortalidade (6,06%). Mulheres tiveram maior número absoluto de óbitos, enquanto homens apresentaram maior mortalidade proporcional (5,01% vs. 4,03%) e maior tempo médio de internação (8,9 vs. 8,5 dias). O custo total foi de R$126,5 milhões, com média de R$2.476,57 por internação. </w:t>
      </w:r>
      <w:r w:rsidRPr="00416C1F">
        <w:rPr>
          <w:b/>
          <w:color w:val="1A1A1A"/>
          <w:sz w:val="22"/>
          <w:szCs w:val="21"/>
        </w:rPr>
        <w:t xml:space="preserve">Conclusão: </w:t>
      </w:r>
      <w:r w:rsidRPr="00416C1F">
        <w:rPr>
          <w:color w:val="1A1A1A"/>
          <w:sz w:val="22"/>
          <w:szCs w:val="21"/>
        </w:rPr>
        <w:t xml:space="preserve">Observou-se aumento expressivo das internações por fratura de fêmur em idosos, acompanhando o envelhecimento populacional. O elevado custo e a maior mortalidade em idosos longevos e no sexo masculino reforçam a relevância do problema. Torna-se essencial </w:t>
      </w:r>
      <w:proofErr w:type="gramStart"/>
      <w:r w:rsidRPr="00416C1F">
        <w:rPr>
          <w:color w:val="1A1A1A"/>
          <w:sz w:val="22"/>
          <w:szCs w:val="21"/>
        </w:rPr>
        <w:t>a</w:t>
      </w:r>
      <w:proofErr w:type="gramEnd"/>
      <w:r w:rsidRPr="00416C1F">
        <w:rPr>
          <w:color w:val="1A1A1A"/>
          <w:sz w:val="22"/>
          <w:szCs w:val="21"/>
        </w:rPr>
        <w:t xml:space="preserve"> implementação de estratégias integradas de prevenção, incluindo rastreamento e tratamento da osteoporose, programas de prevenção de quedas, modificação de riscos ambientais e revisão medicamentosa. </w:t>
      </w:r>
      <w:proofErr w:type="gramStart"/>
      <w:r w:rsidRPr="00416C1F">
        <w:rPr>
          <w:color w:val="1A1A1A"/>
          <w:sz w:val="22"/>
          <w:szCs w:val="21"/>
        </w:rPr>
        <w:t>A</w:t>
      </w:r>
      <w:proofErr w:type="gramEnd"/>
      <w:r w:rsidRPr="00416C1F">
        <w:rPr>
          <w:color w:val="1A1A1A"/>
          <w:sz w:val="22"/>
          <w:szCs w:val="21"/>
        </w:rPr>
        <w:t xml:space="preserve"> associação entre exercício físico e avaliação visual destaca-se como medida eficaz na redução de quedas, devendo ser priorizada em políticas públicas.</w:t>
      </w:r>
    </w:p>
    <w:p w:rsidR="000B5910" w:rsidRDefault="000B5910">
      <w:pPr>
        <w:pBdr>
          <w:bottom w:val="single" w:sz="4" w:space="2" w:color="808080"/>
        </w:pBdr>
        <w:spacing w:before="12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Universidade de Passo Fundo</w:t>
      </w:r>
    </w:p>
    <w:p w:rsidR="000B5910" w:rsidRDefault="000B5910">
      <w:pPr>
        <w:sectPr w:rsidR="000B5910">
          <w:headerReference w:type="default" r:id="rId165"/>
          <w:footerReference w:type="default" r:id="rId16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TERAPIA ANTIRREABSORTIVA EM PACIENTE ADOLESCENTE COM TUMOR DE CÉLULAS GIGANTES MANDIBULAR</w:t>
      </w:r>
    </w:p>
    <w:p w:rsidR="000B5910" w:rsidRPr="00416C1F" w:rsidRDefault="00057F5C">
      <w:pPr>
        <w:spacing w:after="40" w:line="252" w:lineRule="auto"/>
        <w:jc w:val="right"/>
        <w:rPr>
          <w:szCs w:val="21"/>
        </w:rPr>
      </w:pPr>
      <w:r w:rsidRPr="00416C1F">
        <w:rPr>
          <w:color w:val="1A1A1A"/>
          <w:szCs w:val="21"/>
        </w:rPr>
        <w:t>Sarah Mitsue de Castro Matsuoka</w:t>
      </w:r>
      <w:r w:rsidRPr="00416C1F">
        <w:rPr>
          <w:color w:val="1A1A1A"/>
          <w:szCs w:val="21"/>
          <w:vertAlign w:val="superscript"/>
        </w:rPr>
        <w:t>1</w:t>
      </w:r>
      <w:r w:rsidRPr="00416C1F">
        <w:rPr>
          <w:szCs w:val="21"/>
        </w:rPr>
        <w:br/>
      </w:r>
      <w:r w:rsidRPr="00416C1F">
        <w:rPr>
          <w:color w:val="1A1A1A"/>
          <w:szCs w:val="21"/>
        </w:rPr>
        <w:t>André Borsatto Zanella</w:t>
      </w:r>
      <w:r w:rsidRPr="00416C1F">
        <w:rPr>
          <w:color w:val="1A1A1A"/>
          <w:szCs w:val="21"/>
          <w:vertAlign w:val="superscript"/>
        </w:rPr>
        <w:t>1</w:t>
      </w:r>
      <w:r w:rsidRPr="00416C1F">
        <w:rPr>
          <w:szCs w:val="21"/>
        </w:rPr>
        <w:br/>
      </w:r>
      <w:r w:rsidRPr="00416C1F">
        <w:rPr>
          <w:color w:val="1A1A1A"/>
          <w:szCs w:val="21"/>
        </w:rPr>
        <w:t>Natália Denicol Cousseau</w:t>
      </w:r>
      <w:r w:rsidRPr="00416C1F">
        <w:rPr>
          <w:color w:val="1A1A1A"/>
          <w:szCs w:val="21"/>
          <w:vertAlign w:val="superscript"/>
        </w:rPr>
        <w:t>1</w:t>
      </w:r>
      <w:r w:rsidRPr="00416C1F">
        <w:rPr>
          <w:szCs w:val="21"/>
        </w:rPr>
        <w:br/>
      </w:r>
      <w:r w:rsidRPr="00416C1F">
        <w:rPr>
          <w:color w:val="1A1A1A"/>
          <w:szCs w:val="21"/>
        </w:rPr>
        <w:t>Márcio Cruvinel Barbosa de Macêdo</w:t>
      </w:r>
      <w:r w:rsidRPr="00416C1F">
        <w:rPr>
          <w:color w:val="1A1A1A"/>
          <w:szCs w:val="21"/>
          <w:vertAlign w:val="superscript"/>
        </w:rPr>
        <w:t>1</w:t>
      </w:r>
      <w:r w:rsidRPr="00416C1F">
        <w:rPr>
          <w:szCs w:val="21"/>
        </w:rPr>
        <w:br/>
      </w:r>
      <w:r w:rsidRPr="00416C1F">
        <w:rPr>
          <w:color w:val="1A1A1A"/>
          <w:szCs w:val="21"/>
        </w:rPr>
        <w:t>Leonardo Silveira Bastolla</w:t>
      </w:r>
      <w:r w:rsidRPr="00416C1F">
        <w:rPr>
          <w:color w:val="1A1A1A"/>
          <w:szCs w:val="21"/>
          <w:vertAlign w:val="superscript"/>
        </w:rPr>
        <w:t>1</w:t>
      </w:r>
      <w:r w:rsidRPr="00416C1F">
        <w:rPr>
          <w:szCs w:val="21"/>
        </w:rPr>
        <w:br/>
      </w:r>
      <w:r w:rsidRPr="00416C1F">
        <w:rPr>
          <w:color w:val="1A1A1A"/>
          <w:szCs w:val="21"/>
        </w:rPr>
        <w:t>Claudiomor Ruviaro Junior</w:t>
      </w:r>
      <w:r w:rsidRPr="00416C1F">
        <w:rPr>
          <w:color w:val="1A1A1A"/>
          <w:szCs w:val="21"/>
          <w:vertAlign w:val="superscript"/>
        </w:rPr>
        <w:t>1</w:t>
      </w:r>
      <w:r w:rsidRPr="00416C1F">
        <w:rPr>
          <w:szCs w:val="21"/>
        </w:rPr>
        <w:br/>
      </w:r>
      <w:r w:rsidRPr="00416C1F">
        <w:rPr>
          <w:color w:val="1A1A1A"/>
          <w:szCs w:val="21"/>
        </w:rPr>
        <w:t>Luis Gustavo Karan Hoffman</w:t>
      </w:r>
      <w:r w:rsidRPr="00416C1F">
        <w:rPr>
          <w:color w:val="1A1A1A"/>
          <w:szCs w:val="21"/>
          <w:vertAlign w:val="superscript"/>
        </w:rPr>
        <w:t>1</w:t>
      </w:r>
      <w:r w:rsidRPr="00416C1F">
        <w:rPr>
          <w:szCs w:val="21"/>
        </w:rPr>
        <w:br/>
      </w:r>
      <w:r w:rsidRPr="00416C1F">
        <w:rPr>
          <w:color w:val="1A1A1A"/>
          <w:szCs w:val="21"/>
        </w:rPr>
        <w:t>Thathiane Vieira Franco Ribeiro</w:t>
      </w:r>
      <w:r w:rsidRPr="00416C1F">
        <w:rPr>
          <w:color w:val="1A1A1A"/>
          <w:szCs w:val="21"/>
          <w:vertAlign w:val="superscript"/>
        </w:rPr>
        <w:t>1</w:t>
      </w:r>
      <w:r w:rsidRPr="00416C1F">
        <w:rPr>
          <w:szCs w:val="21"/>
        </w:rPr>
        <w:br/>
      </w:r>
      <w:r w:rsidRPr="00416C1F">
        <w:rPr>
          <w:color w:val="1A1A1A"/>
          <w:szCs w:val="21"/>
        </w:rPr>
        <w:t>Fernando Zelimar Dagostim</w:t>
      </w:r>
      <w:r w:rsidRPr="00416C1F">
        <w:rPr>
          <w:color w:val="1A1A1A"/>
          <w:szCs w:val="21"/>
          <w:vertAlign w:val="superscript"/>
        </w:rPr>
        <w:t>1</w:t>
      </w:r>
      <w:r w:rsidRPr="00416C1F">
        <w:rPr>
          <w:szCs w:val="21"/>
        </w:rPr>
        <w:br/>
      </w:r>
      <w:r w:rsidRPr="00416C1F">
        <w:rPr>
          <w:color w:val="1A1A1A"/>
          <w:szCs w:val="21"/>
        </w:rPr>
        <w:t>Manuela Guimarães Dias Gomes</w:t>
      </w:r>
      <w:r w:rsidRPr="00416C1F">
        <w:rPr>
          <w:color w:val="1A1A1A"/>
          <w:szCs w:val="21"/>
          <w:vertAlign w:val="superscript"/>
        </w:rPr>
        <w:t>1</w:t>
      </w:r>
      <w:r w:rsidRPr="00416C1F">
        <w:rPr>
          <w:szCs w:val="21"/>
        </w:rPr>
        <w:br/>
      </w:r>
      <w:r w:rsidRPr="00416C1F">
        <w:rPr>
          <w:color w:val="1A1A1A"/>
          <w:szCs w:val="21"/>
        </w:rPr>
        <w:t>Rafaela Barboza da Silva</w:t>
      </w:r>
      <w:r w:rsidRPr="00416C1F">
        <w:rPr>
          <w:color w:val="1A1A1A"/>
          <w:szCs w:val="21"/>
          <w:vertAlign w:val="superscript"/>
        </w:rPr>
        <w:t>1</w:t>
      </w:r>
      <w:r w:rsidRPr="00416C1F">
        <w:rPr>
          <w:szCs w:val="21"/>
        </w:rPr>
        <w:br/>
      </w:r>
      <w:r w:rsidRPr="00416C1F">
        <w:rPr>
          <w:color w:val="1A1A1A"/>
          <w:szCs w:val="21"/>
        </w:rPr>
        <w:t>Guilherme Genehr Fritscher</w:t>
      </w:r>
      <w:r w:rsidRPr="00416C1F">
        <w:rPr>
          <w:color w:val="1A1A1A"/>
          <w:szCs w:val="21"/>
          <w:vertAlign w:val="superscript"/>
        </w:rPr>
        <w:t>1</w:t>
      </w:r>
    </w:p>
    <w:p w:rsidR="000B5910" w:rsidRDefault="00057F5C">
      <w:pPr>
        <w:spacing w:before="200" w:after="100"/>
      </w:pPr>
      <w:r>
        <w:rPr>
          <w:b/>
          <w:color w:val="1A1A1A"/>
          <w:sz w:val="22"/>
          <w:szCs w:val="24"/>
        </w:rPr>
        <w:t>RESUMO</w:t>
      </w:r>
    </w:p>
    <w:p w:rsidR="000B5910" w:rsidRPr="00416C1F" w:rsidRDefault="00057F5C">
      <w:pPr>
        <w:spacing w:after="80" w:line="264" w:lineRule="auto"/>
        <w:jc w:val="both"/>
        <w:rPr>
          <w:sz w:val="22"/>
          <w:szCs w:val="21"/>
        </w:rPr>
      </w:pPr>
      <w:r w:rsidRPr="00416C1F">
        <w:rPr>
          <w:b/>
          <w:color w:val="1A1A1A"/>
          <w:sz w:val="22"/>
          <w:szCs w:val="21"/>
        </w:rPr>
        <w:t xml:space="preserve">Apresentação do Caso: </w:t>
      </w:r>
      <w:r w:rsidRPr="00416C1F">
        <w:rPr>
          <w:color w:val="1A1A1A"/>
          <w:sz w:val="22"/>
          <w:szCs w:val="21"/>
        </w:rPr>
        <w:t xml:space="preserve">Paciente feminina, 13 anos, iniciou com quadro de desconforto em região mandibular à direita, de caráter progressivo, associado </w:t>
      </w:r>
      <w:proofErr w:type="gramStart"/>
      <w:r w:rsidRPr="00416C1F">
        <w:rPr>
          <w:color w:val="1A1A1A"/>
          <w:sz w:val="22"/>
          <w:szCs w:val="21"/>
        </w:rPr>
        <w:t>a</w:t>
      </w:r>
      <w:proofErr w:type="gramEnd"/>
      <w:r w:rsidRPr="00416C1F">
        <w:rPr>
          <w:color w:val="1A1A1A"/>
          <w:sz w:val="22"/>
          <w:szCs w:val="21"/>
        </w:rPr>
        <w:t xml:space="preserve"> aumento de volume da cavidade oral ipsilateral. Foi submetida à biópsia da lesão mandibular em março de 2025 com resultado anatomopatológico compatível com tumor de células gigantes. Iniciou acompanhamento multidisciplinar com </w:t>
      </w:r>
      <w:proofErr w:type="gramStart"/>
      <w:r w:rsidRPr="00416C1F">
        <w:rPr>
          <w:color w:val="1A1A1A"/>
          <w:sz w:val="22"/>
          <w:szCs w:val="21"/>
        </w:rPr>
        <w:t>a</w:t>
      </w:r>
      <w:proofErr w:type="gramEnd"/>
      <w:r w:rsidRPr="00416C1F">
        <w:rPr>
          <w:color w:val="1A1A1A"/>
          <w:sz w:val="22"/>
          <w:szCs w:val="21"/>
        </w:rPr>
        <w:t xml:space="preserve"> equipe da cirurgia bucomaxilofacial, sendo optado por tratamento conservador com aplicações locais de triancinolona, sem melhora do quadro. Encaminhada à equipe da Endocrinologia para avaliar uso de denosumabe. Iniciou tratamento na dose inicial de 120 mg por semana por 3 semanas, associado à suplementação de vitamina D, seguida de aplicações mensais de 120 mg por 6 meses. Paciente apresentou melhora clínica e radiológica da lesão, com a redução da dose de denosumabe para 60 mg mensais, com planejamento de espaçamento progressivo das aplicações conforme evolução clínica e radiológica e indicação de abordagem cirúrgica. Durante todo o seguimento a paciente manteve-se assintomática, sem efeitos adversos relacionados à terapia. Exames laboratoriais seriados demonstraram níveis normais de cálcio, fósforo, albumina, vitamina D e paratormônio durante o acompanhamento. </w:t>
      </w:r>
      <w:r w:rsidRPr="00416C1F">
        <w:rPr>
          <w:b/>
          <w:color w:val="1A1A1A"/>
          <w:sz w:val="22"/>
          <w:szCs w:val="21"/>
        </w:rPr>
        <w:t>Discussão:</w:t>
      </w:r>
      <w:r w:rsidRPr="00416C1F">
        <w:rPr>
          <w:color w:val="1A1A1A"/>
          <w:sz w:val="22"/>
          <w:szCs w:val="21"/>
        </w:rPr>
        <w:t xml:space="preserve"> O tumor de células gigantes é uma neoplasia óssea benigna localmente agressiva, caracterizada por proliferação de células estromais associada a células gigantes multinucleadas semelhantes </w:t>
      </w:r>
      <w:proofErr w:type="gramStart"/>
      <w:r w:rsidRPr="00416C1F">
        <w:rPr>
          <w:color w:val="1A1A1A"/>
          <w:sz w:val="22"/>
          <w:szCs w:val="21"/>
        </w:rPr>
        <w:t>a</w:t>
      </w:r>
      <w:proofErr w:type="gramEnd"/>
      <w:r w:rsidRPr="00416C1F">
        <w:rPr>
          <w:color w:val="1A1A1A"/>
          <w:sz w:val="22"/>
          <w:szCs w:val="21"/>
        </w:rPr>
        <w:t xml:space="preserve"> osteoclastos. As topografias mais acometidas são as regiões epifisárias e metafisárias dos ossos longos. Lesões de células gigantes na mandíbula são raras e representam apenas 1% dos casos. O tratamento tradicional baseia-se em abordagem cirúrgica, que pode estar associada a morbidade significativa em lesões craniofaciais. Nesse contexto, terapias conservadoras têm sido investigadas. O denosumabe, anticorpo monoclonal que inibe o RANKL e reduz </w:t>
      </w:r>
      <w:proofErr w:type="gramStart"/>
      <w:r w:rsidRPr="00416C1F">
        <w:rPr>
          <w:color w:val="1A1A1A"/>
          <w:sz w:val="22"/>
          <w:szCs w:val="21"/>
        </w:rPr>
        <w:t>a</w:t>
      </w:r>
      <w:proofErr w:type="gramEnd"/>
      <w:r w:rsidRPr="00416C1F">
        <w:rPr>
          <w:color w:val="1A1A1A"/>
          <w:sz w:val="22"/>
          <w:szCs w:val="21"/>
        </w:rPr>
        <w:t xml:space="preserve"> atividade osteoclástica, tem sido utilizado como alternativa terapêutica em casos selecionados. </w:t>
      </w:r>
      <w:r w:rsidRPr="00416C1F">
        <w:rPr>
          <w:b/>
          <w:color w:val="1A1A1A"/>
          <w:sz w:val="22"/>
          <w:szCs w:val="21"/>
        </w:rPr>
        <w:t>Considerações finais:</w:t>
      </w:r>
      <w:r w:rsidRPr="00416C1F">
        <w:rPr>
          <w:color w:val="1A1A1A"/>
          <w:sz w:val="22"/>
          <w:szCs w:val="21"/>
        </w:rPr>
        <w:t xml:space="preserve"> O caso demonstra boa evolução clínica com uso de denosumabe como estratégia terapêutica conservadora no tumor de células gigantes mandibular em paciente pediátrica, reforçando </w:t>
      </w:r>
      <w:proofErr w:type="gramStart"/>
      <w:r w:rsidRPr="00416C1F">
        <w:rPr>
          <w:color w:val="1A1A1A"/>
          <w:sz w:val="22"/>
          <w:szCs w:val="21"/>
        </w:rPr>
        <w:t>a</w:t>
      </w:r>
      <w:proofErr w:type="gramEnd"/>
      <w:r w:rsidRPr="00416C1F">
        <w:rPr>
          <w:color w:val="1A1A1A"/>
          <w:sz w:val="22"/>
          <w:szCs w:val="21"/>
        </w:rPr>
        <w:t xml:space="preserve"> importância da abordagem multidisciplinar e do acompanhamento clínico e laboratorial durante o tratamento.</w:t>
      </w:r>
    </w:p>
    <w:p w:rsidR="000B5910" w:rsidRDefault="000B5910">
      <w:pPr>
        <w:pBdr>
          <w:bottom w:val="single" w:sz="4" w:space="2" w:color="808080"/>
        </w:pBdr>
        <w:spacing w:before="12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Pontifícia Universidade Católica do Rio Grande do Sul</w:t>
      </w:r>
    </w:p>
    <w:p w:rsidR="000B5910" w:rsidRDefault="000B5910">
      <w:pPr>
        <w:sectPr w:rsidR="000B5910">
          <w:headerReference w:type="default" r:id="rId167"/>
          <w:footerReference w:type="default" r:id="rId16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IMPACTO DA PERDA PONDERAL INDUZIDA POR AGONISTAS INCRETINICOS NA MASSA ÓSSEA E RISCO DE FRATURAS</w:t>
      </w:r>
    </w:p>
    <w:p w:rsidR="000B5910" w:rsidRPr="00416C1F" w:rsidRDefault="00057F5C">
      <w:pPr>
        <w:spacing w:after="40" w:line="252" w:lineRule="auto"/>
        <w:jc w:val="right"/>
        <w:rPr>
          <w:szCs w:val="21"/>
        </w:rPr>
      </w:pPr>
      <w:r w:rsidRPr="00416C1F">
        <w:rPr>
          <w:color w:val="1A1A1A"/>
          <w:szCs w:val="21"/>
        </w:rPr>
        <w:t>Marco Antônio Brugnarotto Galvan</w:t>
      </w:r>
      <w:r w:rsidRPr="00416C1F">
        <w:rPr>
          <w:color w:val="1A1A1A"/>
          <w:szCs w:val="21"/>
          <w:vertAlign w:val="superscript"/>
        </w:rPr>
        <w:t>1</w:t>
      </w:r>
      <w:r w:rsidRPr="00416C1F">
        <w:rPr>
          <w:szCs w:val="21"/>
        </w:rPr>
        <w:br/>
      </w:r>
      <w:r w:rsidRPr="00416C1F">
        <w:rPr>
          <w:color w:val="1A1A1A"/>
          <w:szCs w:val="21"/>
        </w:rPr>
        <w:t>Helena Uchôa</w:t>
      </w:r>
      <w:r w:rsidRPr="00416C1F">
        <w:rPr>
          <w:color w:val="1A1A1A"/>
          <w:szCs w:val="21"/>
          <w:vertAlign w:val="superscript"/>
        </w:rPr>
        <w:t>1</w:t>
      </w:r>
      <w:r w:rsidRPr="00416C1F">
        <w:rPr>
          <w:szCs w:val="21"/>
        </w:rPr>
        <w:br/>
      </w:r>
      <w:r w:rsidRPr="00416C1F">
        <w:rPr>
          <w:color w:val="1A1A1A"/>
          <w:szCs w:val="21"/>
        </w:rPr>
        <w:t>Antônia dos Santos Bobrowski</w:t>
      </w:r>
      <w:r w:rsidRPr="00416C1F">
        <w:rPr>
          <w:color w:val="1A1A1A"/>
          <w:szCs w:val="21"/>
          <w:vertAlign w:val="superscript"/>
        </w:rPr>
        <w:t>1</w:t>
      </w:r>
      <w:r w:rsidRPr="00416C1F">
        <w:rPr>
          <w:szCs w:val="21"/>
        </w:rPr>
        <w:br/>
      </w:r>
      <w:r w:rsidRPr="00416C1F">
        <w:rPr>
          <w:color w:val="1A1A1A"/>
          <w:szCs w:val="21"/>
        </w:rPr>
        <w:t>Inácio Kehl</w:t>
      </w:r>
      <w:r w:rsidRPr="00416C1F">
        <w:rPr>
          <w:color w:val="1A1A1A"/>
          <w:szCs w:val="21"/>
          <w:vertAlign w:val="superscript"/>
        </w:rPr>
        <w:t>1</w:t>
      </w:r>
      <w:r w:rsidRPr="00416C1F">
        <w:rPr>
          <w:szCs w:val="21"/>
        </w:rPr>
        <w:br/>
      </w:r>
      <w:r w:rsidRPr="00416C1F">
        <w:rPr>
          <w:color w:val="1A1A1A"/>
          <w:szCs w:val="21"/>
        </w:rPr>
        <w:t>Valentina Dall’Agnol Roman</w:t>
      </w:r>
      <w:r w:rsidRPr="00416C1F">
        <w:rPr>
          <w:color w:val="1A1A1A"/>
          <w:szCs w:val="21"/>
          <w:vertAlign w:val="superscript"/>
        </w:rPr>
        <w:t>1</w:t>
      </w:r>
      <w:r w:rsidRPr="00416C1F">
        <w:rPr>
          <w:szCs w:val="21"/>
        </w:rPr>
        <w:br/>
      </w:r>
      <w:r w:rsidRPr="00416C1F">
        <w:rPr>
          <w:color w:val="1A1A1A"/>
          <w:szCs w:val="21"/>
        </w:rPr>
        <w:t>Murilo Gonçalves Braga</w:t>
      </w:r>
      <w:r w:rsidRPr="00416C1F">
        <w:rPr>
          <w:color w:val="1A1A1A"/>
          <w:szCs w:val="21"/>
          <w:vertAlign w:val="superscript"/>
        </w:rPr>
        <w:t>1</w:t>
      </w:r>
      <w:r w:rsidRPr="00416C1F">
        <w:rPr>
          <w:szCs w:val="21"/>
        </w:rPr>
        <w:br/>
      </w:r>
      <w:r w:rsidRPr="00416C1F">
        <w:rPr>
          <w:color w:val="1A1A1A"/>
          <w:szCs w:val="21"/>
        </w:rPr>
        <w:t>Leonardo Silveira Bastolla</w:t>
      </w:r>
      <w:r w:rsidRPr="00416C1F">
        <w:rPr>
          <w:color w:val="1A1A1A"/>
          <w:szCs w:val="21"/>
          <w:vertAlign w:val="superscript"/>
        </w:rPr>
        <w:t>1</w:t>
      </w:r>
      <w:r w:rsidRPr="00416C1F">
        <w:rPr>
          <w:szCs w:val="21"/>
        </w:rPr>
        <w:br/>
      </w:r>
      <w:r w:rsidRPr="00416C1F">
        <w:rPr>
          <w:color w:val="1A1A1A"/>
          <w:szCs w:val="21"/>
        </w:rPr>
        <w:t>Márcio Cruvinel Barbosa de Macêdo</w:t>
      </w:r>
      <w:r w:rsidRPr="00416C1F">
        <w:rPr>
          <w:color w:val="1A1A1A"/>
          <w:szCs w:val="21"/>
          <w:vertAlign w:val="superscript"/>
        </w:rPr>
        <w:t>1</w:t>
      </w:r>
      <w:r w:rsidRPr="00416C1F">
        <w:rPr>
          <w:szCs w:val="21"/>
        </w:rPr>
        <w:br/>
      </w:r>
      <w:r w:rsidRPr="00416C1F">
        <w:rPr>
          <w:color w:val="1A1A1A"/>
          <w:szCs w:val="21"/>
        </w:rPr>
        <w:t>Matheus Coelho Brasco</w:t>
      </w:r>
      <w:r w:rsidRPr="00416C1F">
        <w:rPr>
          <w:color w:val="1A1A1A"/>
          <w:szCs w:val="21"/>
          <w:vertAlign w:val="superscript"/>
        </w:rPr>
        <w:t>1</w:t>
      </w:r>
      <w:r w:rsidRPr="00416C1F">
        <w:rPr>
          <w:szCs w:val="21"/>
        </w:rPr>
        <w:br/>
      </w:r>
      <w:r w:rsidRPr="00416C1F">
        <w:rPr>
          <w:color w:val="1A1A1A"/>
          <w:szCs w:val="21"/>
        </w:rPr>
        <w:t>Nur Abdalla Juma Abdel Hamid</w:t>
      </w:r>
      <w:r w:rsidRPr="00416C1F">
        <w:rPr>
          <w:color w:val="1A1A1A"/>
          <w:szCs w:val="21"/>
          <w:vertAlign w:val="superscript"/>
        </w:rPr>
        <w:t>1</w:t>
      </w:r>
      <w:r w:rsidRPr="00416C1F">
        <w:rPr>
          <w:szCs w:val="21"/>
        </w:rPr>
        <w:br/>
      </w:r>
      <w:r w:rsidRPr="00416C1F">
        <w:rPr>
          <w:color w:val="1A1A1A"/>
          <w:szCs w:val="21"/>
        </w:rPr>
        <w:t>Lumiere Pasin Schwarzbach</w:t>
      </w:r>
      <w:r w:rsidRPr="00416C1F">
        <w:rPr>
          <w:color w:val="1A1A1A"/>
          <w:szCs w:val="21"/>
          <w:vertAlign w:val="superscript"/>
        </w:rPr>
        <w:t>1</w:t>
      </w:r>
      <w:r w:rsidRPr="00416C1F">
        <w:rPr>
          <w:szCs w:val="21"/>
        </w:rPr>
        <w:br/>
      </w:r>
      <w:r w:rsidRPr="00416C1F">
        <w:rPr>
          <w:color w:val="1A1A1A"/>
          <w:szCs w:val="21"/>
        </w:rPr>
        <w:t>Mariana Pucinskas Hadlich⁠</w:t>
      </w:r>
      <w:r w:rsidRPr="00416C1F">
        <w:rPr>
          <w:color w:val="1A1A1A"/>
          <w:szCs w:val="21"/>
          <w:vertAlign w:val="superscript"/>
        </w:rPr>
        <w:t>1</w:t>
      </w:r>
    </w:p>
    <w:p w:rsidR="000B5910" w:rsidRDefault="00057F5C">
      <w:pPr>
        <w:spacing w:before="200" w:after="100"/>
      </w:pPr>
      <w:r>
        <w:rPr>
          <w:b/>
          <w:color w:val="1A1A1A"/>
          <w:sz w:val="22"/>
          <w:szCs w:val="24"/>
        </w:rPr>
        <w:t>RESUMO</w:t>
      </w:r>
    </w:p>
    <w:p w:rsidR="000B5910" w:rsidRPr="00416C1F" w:rsidRDefault="00057F5C">
      <w:pPr>
        <w:spacing w:after="80" w:line="264" w:lineRule="auto"/>
        <w:jc w:val="both"/>
        <w:rPr>
          <w:sz w:val="22"/>
        </w:rPr>
      </w:pPr>
      <w:r w:rsidRPr="00416C1F">
        <w:rPr>
          <w:b/>
          <w:color w:val="1A1A1A"/>
          <w:sz w:val="22"/>
        </w:rPr>
        <w:t>Introdução</w:t>
      </w:r>
      <w:r w:rsidRPr="00416C1F">
        <w:rPr>
          <w:color w:val="1A1A1A"/>
          <w:sz w:val="22"/>
        </w:rPr>
        <w:t xml:space="preserve">: Os agonistas incretínicos têm se consolidado como tratamento da obesidade e do diabetes mellitus tipo 2, promovendo expressiva redução ponderal. No entanto, seus efeitos sobre a saúde óssea ainda não estão totalmente esclarecidos. Este trabalho analisa o impacto desses fármacos na saúde óssea e no risco de fraturas, explorando possíveis mecanismos fisiopatológicos. </w:t>
      </w:r>
      <w:r w:rsidRPr="00416C1F">
        <w:rPr>
          <w:b/>
          <w:color w:val="1A1A1A"/>
          <w:sz w:val="22"/>
        </w:rPr>
        <w:t xml:space="preserve">Objetivo: </w:t>
      </w:r>
      <w:r w:rsidRPr="00416C1F">
        <w:rPr>
          <w:color w:val="1A1A1A"/>
          <w:sz w:val="22"/>
        </w:rPr>
        <w:t xml:space="preserve">Analisar o impacto da perda ponderal induzida por agonistas das incretinas sobre a massa e a qualidade do tecido ósseo, bem como o potencial aumento do risco de fraturas, por meio da síntese de evidências clínicas e experimentais. </w:t>
      </w:r>
      <w:r w:rsidRPr="00416C1F">
        <w:rPr>
          <w:b/>
          <w:color w:val="1A1A1A"/>
          <w:sz w:val="22"/>
        </w:rPr>
        <w:t>Métodos:</w:t>
      </w:r>
      <w:r w:rsidRPr="00416C1F">
        <w:rPr>
          <w:color w:val="1A1A1A"/>
          <w:sz w:val="22"/>
        </w:rPr>
        <w:t xml:space="preserve"> Revisão sistemática conduzida conforme as diretrizes PRISMA, com buscas nas bases PubMed e Scopus. Utilizaram-se descritores relacionados </w:t>
      </w:r>
      <w:proofErr w:type="gramStart"/>
      <w:r w:rsidRPr="00416C1F">
        <w:rPr>
          <w:color w:val="1A1A1A"/>
          <w:sz w:val="22"/>
        </w:rPr>
        <w:t>a</w:t>
      </w:r>
      <w:proofErr w:type="gramEnd"/>
      <w:r w:rsidRPr="00416C1F">
        <w:rPr>
          <w:color w:val="1A1A1A"/>
          <w:sz w:val="22"/>
        </w:rPr>
        <w:t xml:space="preserve"> agonistas incretínicos, perda de peso, densidade mineral óssea e fraturas, combinados por operadores booleanos. Foram incluídos estudos clínicos em humanos publicados nos últimos 10 anos. Após triagem por títulos, resumos e leitura integral, </w:t>
      </w:r>
      <w:proofErr w:type="gramStart"/>
      <w:r w:rsidRPr="00416C1F">
        <w:rPr>
          <w:color w:val="1A1A1A"/>
          <w:sz w:val="22"/>
        </w:rPr>
        <w:t>a</w:t>
      </w:r>
      <w:proofErr w:type="gramEnd"/>
      <w:r w:rsidRPr="00416C1F">
        <w:rPr>
          <w:color w:val="1A1A1A"/>
          <w:sz w:val="22"/>
        </w:rPr>
        <w:t xml:space="preserve"> extração de dados e a avaliação do risco de viés foram realizadas de forma independente e cega por dois revisores, com síntese qualitativa dos achados. </w:t>
      </w:r>
      <w:r w:rsidRPr="00416C1F">
        <w:rPr>
          <w:b/>
          <w:color w:val="1A1A1A"/>
          <w:sz w:val="22"/>
        </w:rPr>
        <w:t>Resultados:</w:t>
      </w:r>
      <w:r w:rsidRPr="00416C1F">
        <w:rPr>
          <w:color w:val="1A1A1A"/>
          <w:sz w:val="22"/>
        </w:rPr>
        <w:t xml:space="preserve"> A análise dos 17 estudos incluídos (n = 18.450) demonstrou que a perda ponderal média de 12,5% associou-se a reduções esperadas da DMO, com variações médias de 1,3% na coluna lombar e 1,5% no colo do fêmur, acompanhadas por aumento transitório do marcador de reabsorção óssea CTX (+11,5%). Entretanto, </w:t>
      </w:r>
      <w:proofErr w:type="gramStart"/>
      <w:r w:rsidRPr="00416C1F">
        <w:rPr>
          <w:color w:val="1A1A1A"/>
          <w:sz w:val="22"/>
        </w:rPr>
        <w:t>a</w:t>
      </w:r>
      <w:proofErr w:type="gramEnd"/>
      <w:r w:rsidRPr="00416C1F">
        <w:rPr>
          <w:color w:val="1A1A1A"/>
          <w:sz w:val="22"/>
        </w:rPr>
        <w:t xml:space="preserve"> incidência de fraturas clínicas não diferiu significativamente dos controles (Risco Relativo = 1,04; IC95% 0,89–1,21). </w:t>
      </w:r>
      <w:proofErr w:type="gramStart"/>
      <w:r w:rsidRPr="00416C1F">
        <w:rPr>
          <w:color w:val="1A1A1A"/>
          <w:sz w:val="22"/>
        </w:rPr>
        <w:t>A</w:t>
      </w:r>
      <w:proofErr w:type="gramEnd"/>
      <w:r w:rsidRPr="00416C1F">
        <w:rPr>
          <w:color w:val="1A1A1A"/>
          <w:sz w:val="22"/>
        </w:rPr>
        <w:t xml:space="preserve"> análise integrada sugere que a redução da DMO reflete predominantemente adaptação biomecânica à menor carga corporal, e não toxicidade direta das incretinas. </w:t>
      </w:r>
      <w:proofErr w:type="gramStart"/>
      <w:r w:rsidRPr="00416C1F">
        <w:rPr>
          <w:color w:val="1A1A1A"/>
          <w:sz w:val="22"/>
        </w:rPr>
        <w:t>A</w:t>
      </w:r>
      <w:proofErr w:type="gramEnd"/>
      <w:r w:rsidRPr="00416C1F">
        <w:rPr>
          <w:color w:val="1A1A1A"/>
          <w:sz w:val="22"/>
        </w:rPr>
        <w:t xml:space="preserve"> associação com exercício resistido demonstrou efeito protetor, atenuando a perda óssea relacionada ao emagrecimento. </w:t>
      </w:r>
      <w:r w:rsidRPr="00416C1F">
        <w:rPr>
          <w:b/>
          <w:color w:val="1A1A1A"/>
          <w:sz w:val="22"/>
        </w:rPr>
        <w:t xml:space="preserve">Conclusão: </w:t>
      </w:r>
      <w:r w:rsidRPr="00416C1F">
        <w:rPr>
          <w:color w:val="1A1A1A"/>
          <w:sz w:val="22"/>
        </w:rPr>
        <w:t xml:space="preserve">Os resultados indicam que a perda ponderal promovida por agonistas incretínicos associa-se com uma discreta redução da DMO, sem evidências clínicas consistentes de aumento significativo do risco de fraturas. Os achados sugerem que as alterações observadas parecem ser consequência, principalmente, da diminuição da carga mecânica corporal, e não um efeito adverso direto dos fármacos sobre o tecido ósseo. Além disso, o exercício físico resistido mostrou-se relevante na preservação da massa óssea, destacando </w:t>
      </w:r>
      <w:proofErr w:type="gramStart"/>
      <w:r w:rsidRPr="00416C1F">
        <w:rPr>
          <w:color w:val="1A1A1A"/>
          <w:sz w:val="22"/>
        </w:rPr>
        <w:t>a</w:t>
      </w:r>
      <w:proofErr w:type="gramEnd"/>
      <w:r w:rsidRPr="00416C1F">
        <w:rPr>
          <w:color w:val="1A1A1A"/>
          <w:sz w:val="22"/>
        </w:rPr>
        <w:t xml:space="preserve"> importância de abordagens integradas no manejo do emagrecimento.</w:t>
      </w:r>
    </w:p>
    <w:p w:rsidR="000B5910" w:rsidRDefault="000B5910">
      <w:pPr>
        <w:pBdr>
          <w:bottom w:val="single" w:sz="4" w:space="2" w:color="808080"/>
        </w:pBdr>
        <w:spacing w:before="120" w:after="40"/>
      </w:pPr>
    </w:p>
    <w:p w:rsidR="000B5910" w:rsidRPr="00416C1F" w:rsidRDefault="00057F5C">
      <w:pPr>
        <w:spacing w:after="0" w:line="252" w:lineRule="auto"/>
        <w:rPr>
          <w:sz w:val="16"/>
          <w:szCs w:val="16"/>
        </w:rPr>
      </w:pPr>
      <w:r w:rsidRPr="00416C1F">
        <w:rPr>
          <w:color w:val="595959"/>
          <w:sz w:val="16"/>
          <w:szCs w:val="16"/>
          <w:vertAlign w:val="superscript"/>
        </w:rPr>
        <w:t>1</w:t>
      </w:r>
      <w:r w:rsidRPr="00416C1F">
        <w:rPr>
          <w:color w:val="595959"/>
          <w:sz w:val="16"/>
          <w:szCs w:val="16"/>
        </w:rPr>
        <w:t xml:space="preserve"> Pontifícia Universidade Católica do Rio Grande do Sul</w:t>
      </w:r>
    </w:p>
    <w:p w:rsidR="000B5910" w:rsidRDefault="000B5910">
      <w:pPr>
        <w:sectPr w:rsidR="000B5910">
          <w:headerReference w:type="default" r:id="rId169"/>
          <w:footerReference w:type="default" r:id="rId17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INVESTIGAÇÃO DE HIPOCALCEMIA GRAVE E DIAGNÓSTICO DE PSEUDOHIPOPARATIREOIDISMO TIPO 1B EM ADULTO JOVEM NA ENFERMARIA CLÍNICA</w:t>
      </w:r>
    </w:p>
    <w:p w:rsidR="000B5910" w:rsidRPr="00416C1F" w:rsidRDefault="00057F5C">
      <w:pPr>
        <w:spacing w:after="40" w:line="252" w:lineRule="auto"/>
        <w:jc w:val="right"/>
        <w:rPr>
          <w:szCs w:val="21"/>
        </w:rPr>
      </w:pPr>
      <w:r w:rsidRPr="00416C1F">
        <w:rPr>
          <w:color w:val="1A1A1A"/>
          <w:szCs w:val="21"/>
        </w:rPr>
        <w:t>Caroline Goergen</w:t>
      </w:r>
      <w:r w:rsidRPr="00416C1F">
        <w:rPr>
          <w:color w:val="1A1A1A"/>
          <w:szCs w:val="21"/>
          <w:vertAlign w:val="superscript"/>
        </w:rPr>
        <w:t>1</w:t>
      </w:r>
      <w:r w:rsidRPr="00416C1F">
        <w:rPr>
          <w:szCs w:val="21"/>
        </w:rPr>
        <w:br/>
      </w:r>
      <w:r w:rsidRPr="00416C1F">
        <w:rPr>
          <w:color w:val="1A1A1A"/>
          <w:szCs w:val="21"/>
        </w:rPr>
        <w:t>Carolina Gonzatti</w:t>
      </w:r>
      <w:r w:rsidRPr="00416C1F">
        <w:rPr>
          <w:color w:val="1A1A1A"/>
          <w:szCs w:val="21"/>
          <w:vertAlign w:val="superscript"/>
        </w:rPr>
        <w:t>1</w:t>
      </w:r>
      <w:r w:rsidRPr="00416C1F">
        <w:rPr>
          <w:szCs w:val="21"/>
        </w:rPr>
        <w:br/>
      </w:r>
      <w:r w:rsidRPr="00416C1F">
        <w:rPr>
          <w:color w:val="1A1A1A"/>
          <w:szCs w:val="21"/>
        </w:rPr>
        <w:t>Giulia Frantz Silveira</w:t>
      </w:r>
      <w:r w:rsidRPr="00416C1F">
        <w:rPr>
          <w:color w:val="1A1A1A"/>
          <w:szCs w:val="21"/>
          <w:vertAlign w:val="superscript"/>
        </w:rPr>
        <w:t>1</w:t>
      </w:r>
      <w:r w:rsidRPr="00416C1F">
        <w:rPr>
          <w:szCs w:val="21"/>
        </w:rPr>
        <w:br/>
      </w:r>
      <w:r w:rsidRPr="00416C1F">
        <w:rPr>
          <w:color w:val="1A1A1A"/>
          <w:szCs w:val="21"/>
        </w:rPr>
        <w:t>Maria Eduarda Vieira Ferreira</w:t>
      </w:r>
      <w:r w:rsidRPr="00416C1F">
        <w:rPr>
          <w:color w:val="1A1A1A"/>
          <w:szCs w:val="21"/>
          <w:vertAlign w:val="superscript"/>
        </w:rPr>
        <w:t>1</w:t>
      </w:r>
      <w:r w:rsidRPr="00416C1F">
        <w:rPr>
          <w:szCs w:val="21"/>
        </w:rPr>
        <w:br/>
      </w:r>
      <w:r w:rsidRPr="00416C1F">
        <w:rPr>
          <w:color w:val="1A1A1A"/>
          <w:szCs w:val="21"/>
        </w:rPr>
        <w:t>Vitória Diehl dos Santos</w:t>
      </w:r>
      <w:r w:rsidRPr="00416C1F">
        <w:rPr>
          <w:color w:val="1A1A1A"/>
          <w:szCs w:val="21"/>
          <w:vertAlign w:val="superscript"/>
        </w:rPr>
        <w:t>1</w:t>
      </w:r>
      <w:r w:rsidRPr="00416C1F">
        <w:rPr>
          <w:szCs w:val="21"/>
        </w:rPr>
        <w:br/>
      </w:r>
      <w:r w:rsidRPr="00416C1F">
        <w:rPr>
          <w:color w:val="1A1A1A"/>
          <w:szCs w:val="21"/>
        </w:rPr>
        <w:t>Janine Alessi</w:t>
      </w:r>
      <w:r w:rsidRPr="00416C1F">
        <w:rPr>
          <w:color w:val="1A1A1A"/>
          <w:szCs w:val="21"/>
          <w:vertAlign w:val="superscript"/>
        </w:rPr>
        <w:t>1</w:t>
      </w:r>
    </w:p>
    <w:p w:rsidR="000B5910" w:rsidRDefault="00057F5C">
      <w:pPr>
        <w:spacing w:before="240" w:after="100"/>
      </w:pPr>
      <w:r>
        <w:rPr>
          <w:b/>
          <w:color w:val="1A1A1A"/>
          <w:sz w:val="22"/>
        </w:rPr>
        <w:t>RESUMO</w:t>
      </w:r>
    </w:p>
    <w:p w:rsidR="000B5910" w:rsidRPr="00416C1F" w:rsidRDefault="00057F5C">
      <w:pPr>
        <w:spacing w:after="80"/>
        <w:jc w:val="both"/>
        <w:rPr>
          <w:sz w:val="22"/>
        </w:rPr>
      </w:pPr>
      <w:r w:rsidRPr="00416C1F">
        <w:rPr>
          <w:b/>
          <w:color w:val="1A1A1A"/>
          <w:sz w:val="22"/>
        </w:rPr>
        <w:t>Apresentação do Caso:</w:t>
      </w:r>
      <w:r w:rsidRPr="00416C1F">
        <w:rPr>
          <w:color w:val="1A1A1A"/>
          <w:sz w:val="22"/>
        </w:rPr>
        <w:t xml:space="preserve"> Paciente masculino, 23 anos, com histórico de epilepsia, buscou atendimento hospitalar devido à bradipsiquismo e turvação visual há 2 semanas, evoluindo com vertigem e contraturas musculares em membros superiores de caráter intermitente. Negava história familiar relevante ou consanguinidade. Ao exame físico, paciente eutrófico, estatura esperada para o alvo familiar, sinal de Trousseau positivo e sinal de Chvostek negativo, e demais sem alterações. Laboratorialmente evidenciou-se hipocalcemia grave (cálcio total corrigido: 4,9 mg/dL), PTH elevado (&gt;1000 pg/mL), hiperfosfatemia (6,0 mg/dL) e hipovitaminose D (8,49 ng/dL), magnésio normal, calciúria de 24h: 43,2 mg/24h), função renal normal (Cr 0,9 mg/dL). Durante a hospitalização, foi realizada reposição de cálcio EV e VO, além de suplementação com calcitriol. Mesmo após normalização de vitamina D, PTH manteve-se &gt;1000 pg/mL. Realizado RX de mãos, sem evidência de braquidactilia, e densitometria óssea com baixa massa óssea para a faixa etária. Após normalização eletrolítica às custas de reposição, recebeu alta com Calcitriol 0,5 mg 8/8h e Carbonato de cálcio 1500 mg 6/6h. Foi realizada pesquisa de mutação de Gene GNAS, que veio negativa. Após 30 dias de reposição de cálcio, cintilografia óssea mostrou lesões sugestivas de atividade blástica em calota craniana, esterno, 9º arco costal direito e na tíbia direita. Diante do cenário descrito e do resultado negativo para mutação de gene GNAS, torna-se a hipótese diagnóstica de pseudohipoparatireoidismo do tipo 1B (PHP1B) mais provável. </w:t>
      </w:r>
      <w:r w:rsidRPr="00416C1F">
        <w:rPr>
          <w:b/>
          <w:color w:val="1A1A1A"/>
          <w:sz w:val="22"/>
        </w:rPr>
        <w:t>Discussão:</w:t>
      </w:r>
      <w:r w:rsidRPr="00416C1F">
        <w:rPr>
          <w:color w:val="1A1A1A"/>
          <w:sz w:val="22"/>
        </w:rPr>
        <w:t xml:space="preserve"> Os principais desafios na investigação de hipocalcemia incluem a complexidade diagnóstica laboratorial, </w:t>
      </w:r>
      <w:proofErr w:type="gramStart"/>
      <w:r w:rsidRPr="00416C1F">
        <w:rPr>
          <w:color w:val="1A1A1A"/>
          <w:sz w:val="22"/>
        </w:rPr>
        <w:t>a</w:t>
      </w:r>
      <w:proofErr w:type="gramEnd"/>
      <w:r w:rsidRPr="00416C1F">
        <w:rPr>
          <w:color w:val="1A1A1A"/>
          <w:sz w:val="22"/>
        </w:rPr>
        <w:t xml:space="preserve"> identificação de causas genéticas sutis, o reconhecimento de distúrbios eletrolíticos associados e a interpretação adequada dos níveis de PTH. Diante de hipocalcemia, hiperfosfatemia e PTH elevado com Cr normal, deve-se suspeitar de PHP, que se caracteriza por resistência periférica ao PTH e que pode estar, ou não, associado a mutações no gene GNAS. O PHP1B pode manifestar-se em qualquer idade, incluindo casos de início na vida adulta. Muitos pacientes são assintomáticos ou apresentam sintomas leves de hipocalcemia. </w:t>
      </w:r>
      <w:r w:rsidRPr="00416C1F">
        <w:rPr>
          <w:b/>
          <w:color w:val="1A1A1A"/>
          <w:sz w:val="22"/>
        </w:rPr>
        <w:t xml:space="preserve">Considerações finais: </w:t>
      </w:r>
      <w:r w:rsidRPr="00416C1F">
        <w:rPr>
          <w:color w:val="1A1A1A"/>
          <w:sz w:val="22"/>
        </w:rPr>
        <w:t>A raridade do PHP1B e a falta de familiaridade dos médicos com esta condição contribuem para atrasos diagnósticos significativos, o que reforça a necessidade de relembrar o PHP1B no diagnóstico diferencial de hipocalcemia com PTH elevado.</w:t>
      </w:r>
    </w:p>
    <w:p w:rsidR="000B5910" w:rsidRDefault="000B5910">
      <w:pPr>
        <w:pBdr>
          <w:bottom w:val="single" w:sz="4" w:space="2" w:color="808080"/>
        </w:pBdr>
        <w:spacing w:before="16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Pontifícia Universidade Católica do Rio Grande do Sul</w:t>
      </w:r>
    </w:p>
    <w:p w:rsidR="000B5910" w:rsidRDefault="000B5910">
      <w:pPr>
        <w:sectPr w:rsidR="000B5910">
          <w:headerReference w:type="default" r:id="rId171"/>
          <w:footerReference w:type="default" r:id="rId17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FRATURA DE FÊMUR COMO EVENTO SENTINELA PARA OSTEOPOROSE EM MULHERES: ANÁLISE EPIDEMIOLÓGICA NO SUL DO BRASIL</w:t>
      </w:r>
    </w:p>
    <w:p w:rsidR="000B5910" w:rsidRPr="000E628C" w:rsidRDefault="00057F5C">
      <w:pPr>
        <w:spacing w:after="40" w:line="252" w:lineRule="auto"/>
        <w:jc w:val="right"/>
        <w:rPr>
          <w:szCs w:val="21"/>
        </w:rPr>
      </w:pPr>
      <w:r w:rsidRPr="000E628C">
        <w:rPr>
          <w:color w:val="1A1A1A"/>
          <w:szCs w:val="21"/>
        </w:rPr>
        <w:t>Manoela Lenzi Pinto</w:t>
      </w:r>
      <w:r w:rsidRPr="000E628C">
        <w:rPr>
          <w:color w:val="1A1A1A"/>
          <w:szCs w:val="21"/>
          <w:vertAlign w:val="superscript"/>
        </w:rPr>
        <w:t>1</w:t>
      </w:r>
      <w:r w:rsidRPr="000E628C">
        <w:rPr>
          <w:szCs w:val="21"/>
        </w:rPr>
        <w:br/>
      </w:r>
      <w:r w:rsidRPr="000E628C">
        <w:rPr>
          <w:color w:val="1A1A1A"/>
          <w:szCs w:val="21"/>
        </w:rPr>
        <w:t>Milena Dias da Silva</w:t>
      </w:r>
      <w:r w:rsidRPr="000E628C">
        <w:rPr>
          <w:color w:val="1A1A1A"/>
          <w:szCs w:val="21"/>
          <w:vertAlign w:val="superscript"/>
        </w:rPr>
        <w:t>1</w:t>
      </w:r>
    </w:p>
    <w:p w:rsidR="000B5910" w:rsidRDefault="00057F5C">
      <w:pPr>
        <w:spacing w:before="240" w:after="100"/>
      </w:pPr>
      <w:r>
        <w:rPr>
          <w:b/>
          <w:color w:val="1A1A1A"/>
          <w:sz w:val="22"/>
        </w:rPr>
        <w:t>RESUMO</w:t>
      </w:r>
    </w:p>
    <w:p w:rsidR="000B5910" w:rsidRPr="000E628C" w:rsidRDefault="00057F5C">
      <w:pPr>
        <w:spacing w:after="80"/>
        <w:jc w:val="both"/>
        <w:rPr>
          <w:sz w:val="22"/>
        </w:rPr>
      </w:pPr>
      <w:r w:rsidRPr="000E628C">
        <w:rPr>
          <w:b/>
          <w:color w:val="1A1A1A"/>
          <w:sz w:val="22"/>
        </w:rPr>
        <w:t>Introdução</w:t>
      </w:r>
      <w:r w:rsidRPr="000E628C">
        <w:rPr>
          <w:color w:val="1A1A1A"/>
          <w:sz w:val="22"/>
        </w:rPr>
        <w:t xml:space="preserve">: A osteoporose é uma doença crônica de alta prevalência em mulher após a menopausa, frequentemente subdiagnosticada e subtratada. A fratura de fêmur representa uma de suas complicações mais graves, estando associada </w:t>
      </w:r>
      <w:proofErr w:type="gramStart"/>
      <w:r w:rsidRPr="000E628C">
        <w:rPr>
          <w:color w:val="1A1A1A"/>
          <w:sz w:val="22"/>
        </w:rPr>
        <w:t>a</w:t>
      </w:r>
      <w:proofErr w:type="gramEnd"/>
      <w:r w:rsidRPr="000E628C">
        <w:rPr>
          <w:color w:val="1A1A1A"/>
          <w:sz w:val="22"/>
        </w:rPr>
        <w:t xml:space="preserve"> elevada morbimortalidade, perda de independência funcional e altos custos em saúde. Em muitos casos, o diagnóstico da osteoporose ocorre apenas após </w:t>
      </w:r>
      <w:proofErr w:type="gramStart"/>
      <w:r w:rsidRPr="000E628C">
        <w:rPr>
          <w:color w:val="1A1A1A"/>
          <w:sz w:val="22"/>
        </w:rPr>
        <w:t>a</w:t>
      </w:r>
      <w:proofErr w:type="gramEnd"/>
      <w:r w:rsidRPr="000E628C">
        <w:rPr>
          <w:color w:val="1A1A1A"/>
          <w:sz w:val="22"/>
        </w:rPr>
        <w:t xml:space="preserve"> ocorrência da fratura, caracterizando-a como um evento sentinela. Nesse contexto, </w:t>
      </w:r>
      <w:proofErr w:type="gramStart"/>
      <w:r w:rsidRPr="000E628C">
        <w:rPr>
          <w:color w:val="1A1A1A"/>
          <w:sz w:val="22"/>
        </w:rPr>
        <w:t>a</w:t>
      </w:r>
      <w:proofErr w:type="gramEnd"/>
      <w:r w:rsidRPr="000E628C">
        <w:rPr>
          <w:color w:val="1A1A1A"/>
          <w:sz w:val="22"/>
        </w:rPr>
        <w:t xml:space="preserve"> análise epidemiológica dessas internações pode contribuir para a compreensão da magnitude do problema e para o direcionamento de estratégias de prevenção e manejo. </w:t>
      </w:r>
      <w:r w:rsidRPr="000E628C">
        <w:rPr>
          <w:b/>
          <w:color w:val="1A1A1A"/>
          <w:sz w:val="22"/>
        </w:rPr>
        <w:t>Objetivo</w:t>
      </w:r>
      <w:r w:rsidRPr="000E628C">
        <w:rPr>
          <w:color w:val="1A1A1A"/>
          <w:sz w:val="22"/>
        </w:rPr>
        <w:t xml:space="preserve">: Analisar a fratura de fêmur como evento sentinela da osteoporose em mulheres na região Sul do Brasil, avaliando internações, mortalidade hospitalar e custos no Sistema Único de Saúde no período de 2010 a 2024. </w:t>
      </w:r>
      <w:r w:rsidRPr="000E628C">
        <w:rPr>
          <w:b/>
          <w:color w:val="1A1A1A"/>
          <w:sz w:val="22"/>
        </w:rPr>
        <w:t>Métodos:</w:t>
      </w:r>
      <w:r w:rsidRPr="000E628C">
        <w:rPr>
          <w:color w:val="1A1A1A"/>
          <w:sz w:val="22"/>
        </w:rPr>
        <w:t xml:space="preserve"> Estudo observacional retrospectivo, de caráter ecológico, com dados secundários do Sistema de Informações Hospitalares do SUS (SIH/SUS). Foram analisadas internações registradas de mulheres com idade acima de 50 anos, residentes dos estados do Rio Grande do Sul, Santa Catarina e Paraná, com diagnóstico de fratura de fêmur (CID-10 S72.0, S72.1 e S72.2), no período de 2010 a 2024. As variáveis avaliadas incluíram número de internações, óbitos hospitalares e custos totais. Os dados foram organizados por ano de atendimento para avaliação de tendência temporal. </w:t>
      </w:r>
      <w:r w:rsidRPr="000E628C">
        <w:rPr>
          <w:b/>
          <w:color w:val="1A1A1A"/>
          <w:sz w:val="22"/>
        </w:rPr>
        <w:t>Resultados:</w:t>
      </w:r>
      <w:r w:rsidRPr="000E628C">
        <w:rPr>
          <w:color w:val="1A1A1A"/>
          <w:sz w:val="22"/>
        </w:rPr>
        <w:t xml:space="preserve"> Entre 2010 e 2024, foram registradas 131.776 internações por fratura de fêmur em mulheres com mais de 50 anos na região Sul do Brasil, com tendência crescente ao longo do período, mais do que dobrando no intervalo analisado. A mortalidade hospitalar totalizou 6.097 óbitos, mantendo-se elevada ao longo dos anos. Observou-se importante impacto econômico, com custos superior a R$ 387 milhões e crescimento progressivo evidenciando aumento da carga da doença. </w:t>
      </w:r>
      <w:r w:rsidRPr="000E628C">
        <w:rPr>
          <w:b/>
          <w:color w:val="1A1A1A"/>
          <w:sz w:val="22"/>
        </w:rPr>
        <w:t>Conclusão:</w:t>
      </w:r>
      <w:r w:rsidRPr="000E628C">
        <w:rPr>
          <w:color w:val="1A1A1A"/>
          <w:sz w:val="22"/>
        </w:rPr>
        <w:t xml:space="preserve"> A elevada frequência, mortalidade e custos associados às fraturas de fêmur em mulheres reforçam seu papel como evento sentinela da osteoporose. Os achados evidenciam falhas no rastreamento e tratamento precoce, destacando a necessidade de estratégias de prevenção para redução da morbimortalidade e do impacto econômico no sistema de saúde.</w:t>
      </w:r>
      <w:r w:rsidR="000E628C">
        <w:rPr>
          <w:color w:val="1A1A1A"/>
          <w:sz w:val="22"/>
        </w:rPr>
        <w:t xml:space="preserve"> </w:t>
      </w:r>
      <w:r w:rsidRPr="000E628C">
        <w:rPr>
          <w:b/>
          <w:color w:val="1A1A1A"/>
          <w:sz w:val="22"/>
        </w:rPr>
        <w:t>NEUROENDOCRINOLOGIA</w:t>
      </w:r>
    </w:p>
    <w:p w:rsidR="000B5910" w:rsidRDefault="000B5910">
      <w:pPr>
        <w:pBdr>
          <w:bottom w:val="single" w:sz="4" w:space="2" w:color="808080"/>
        </w:pBdr>
        <w:spacing w:before="16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Universidade Federal de Ciências da Saúde de Porto Alegre - UFCSPA</w:t>
      </w:r>
    </w:p>
    <w:p w:rsidR="000B5910" w:rsidRDefault="000B5910">
      <w:pPr>
        <w:sectPr w:rsidR="000B5910">
          <w:headerReference w:type="default" r:id="rId173"/>
          <w:footerReference w:type="default" r:id="rId17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CARACTERÍSTICAS CLÍNICAS E COMORBIDADES EM PACIENTES COM HIPOPROLACTINEMIA</w:t>
      </w:r>
    </w:p>
    <w:p w:rsidR="000B5910" w:rsidRPr="000E628C" w:rsidRDefault="00057F5C">
      <w:pPr>
        <w:spacing w:after="40" w:line="252" w:lineRule="auto"/>
        <w:jc w:val="right"/>
        <w:rPr>
          <w:szCs w:val="21"/>
        </w:rPr>
      </w:pPr>
      <w:r w:rsidRPr="000E628C">
        <w:rPr>
          <w:color w:val="1A1A1A"/>
          <w:szCs w:val="21"/>
        </w:rPr>
        <w:t>Matheus Nejar Coan</w:t>
      </w:r>
      <w:r w:rsidRPr="000E628C">
        <w:rPr>
          <w:color w:val="1A1A1A"/>
          <w:szCs w:val="21"/>
          <w:vertAlign w:val="superscript"/>
        </w:rPr>
        <w:t>1</w:t>
      </w:r>
      <w:r w:rsidRPr="000E628C">
        <w:rPr>
          <w:szCs w:val="21"/>
        </w:rPr>
        <w:br/>
      </w:r>
      <w:r w:rsidRPr="000E628C">
        <w:rPr>
          <w:color w:val="1A1A1A"/>
          <w:szCs w:val="21"/>
        </w:rPr>
        <w:t>Diego Paixão Côrtes Aguiar</w:t>
      </w:r>
      <w:r w:rsidRPr="000E628C">
        <w:rPr>
          <w:color w:val="1A1A1A"/>
          <w:szCs w:val="21"/>
          <w:vertAlign w:val="superscript"/>
        </w:rPr>
        <w:t>2</w:t>
      </w:r>
      <w:r w:rsidRPr="000E628C">
        <w:rPr>
          <w:szCs w:val="21"/>
        </w:rPr>
        <w:br/>
      </w:r>
      <w:r w:rsidRPr="000E628C">
        <w:rPr>
          <w:color w:val="1A1A1A"/>
          <w:szCs w:val="21"/>
        </w:rPr>
        <w:t>Júlia Fernanda Semmelmann Pereira Lima</w:t>
      </w:r>
      <w:r w:rsidRPr="000E628C">
        <w:rPr>
          <w:color w:val="1A1A1A"/>
          <w:szCs w:val="21"/>
          <w:vertAlign w:val="superscript"/>
        </w:rPr>
        <w:t>1</w:t>
      </w:r>
      <w:r w:rsidRPr="000E628C">
        <w:rPr>
          <w:szCs w:val="21"/>
        </w:rPr>
        <w:br/>
      </w:r>
      <w:r w:rsidRPr="000E628C">
        <w:rPr>
          <w:color w:val="1A1A1A"/>
          <w:szCs w:val="21"/>
        </w:rPr>
        <w:t>Miriam da Costa Oliveira</w:t>
      </w:r>
      <w:r w:rsidRPr="000E628C">
        <w:rPr>
          <w:color w:val="1A1A1A"/>
          <w:szCs w:val="21"/>
          <w:vertAlign w:val="superscript"/>
        </w:rPr>
        <w:t>1</w:t>
      </w:r>
    </w:p>
    <w:p w:rsidR="000B5910" w:rsidRDefault="00057F5C">
      <w:pPr>
        <w:spacing w:before="240" w:after="100"/>
      </w:pPr>
      <w:r>
        <w:rPr>
          <w:b/>
          <w:color w:val="1A1A1A"/>
          <w:sz w:val="22"/>
        </w:rPr>
        <w:t>RESUMO</w:t>
      </w:r>
    </w:p>
    <w:p w:rsidR="000B5910" w:rsidRPr="000E628C" w:rsidRDefault="00057F5C">
      <w:pPr>
        <w:spacing w:after="80"/>
        <w:jc w:val="both"/>
        <w:rPr>
          <w:sz w:val="22"/>
        </w:rPr>
      </w:pPr>
      <w:r w:rsidRPr="000E628C">
        <w:rPr>
          <w:b/>
          <w:color w:val="1A1A1A"/>
          <w:sz w:val="22"/>
        </w:rPr>
        <w:t>Introdução:</w:t>
      </w:r>
      <w:r w:rsidRPr="000E628C">
        <w:rPr>
          <w:color w:val="1A1A1A"/>
          <w:sz w:val="22"/>
        </w:rPr>
        <w:t xml:space="preserve"> A hipoprolactinemia (hipoPRL) é uma condição até recentemente pouco explorada na literatura, apesar de a prolactina (PRL) atuar para além do eixo mamário e gonadal, especialmente nas vias metabólicas. </w:t>
      </w:r>
      <w:r w:rsidRPr="000E628C">
        <w:rPr>
          <w:b/>
          <w:color w:val="1A1A1A"/>
          <w:sz w:val="22"/>
        </w:rPr>
        <w:t>Objetivo:</w:t>
      </w:r>
      <w:r w:rsidRPr="000E628C">
        <w:rPr>
          <w:color w:val="1A1A1A"/>
          <w:sz w:val="22"/>
        </w:rPr>
        <w:t xml:space="preserve"> É objetivo dos autores avaliar variáveis como IMC, DM tipo 2, perfil lipídico, número de eixos hipofisários deficitários e sintomas de depressão/ansiedade em pacientes com hipoPRL. </w:t>
      </w:r>
      <w:r w:rsidRPr="000E628C">
        <w:rPr>
          <w:b/>
          <w:color w:val="1A1A1A"/>
          <w:sz w:val="22"/>
        </w:rPr>
        <w:t>Métodos:</w:t>
      </w:r>
      <w:r w:rsidRPr="000E628C">
        <w:rPr>
          <w:color w:val="1A1A1A"/>
          <w:sz w:val="22"/>
        </w:rPr>
        <w:t xml:space="preserve"> Trata-se de uma análise interina de um estudo observacional retrospectivo, em uma coorte de pacientes com adenomas hipofisários não-funcionantes (NF), secretores de GH ou de ACTH. Foi considerado para diagnóstico de hipoPRL um nível de PRL basal inferior aos valores de referência laboratoriais. </w:t>
      </w:r>
      <w:r w:rsidRPr="000E628C">
        <w:rPr>
          <w:b/>
          <w:color w:val="1A1A1A"/>
          <w:sz w:val="22"/>
        </w:rPr>
        <w:t>Resultados:</w:t>
      </w:r>
      <w:r w:rsidRPr="000E628C">
        <w:rPr>
          <w:color w:val="1A1A1A"/>
          <w:sz w:val="22"/>
        </w:rPr>
        <w:t xml:space="preserve"> Constituem a coorte 140 pacientes com acromegalia, 282 com adenomas NF e 51 com Doença de Cushing. Destes, respectivamente, 6 (4,3%), 15 (5,3%) e nenhum paciente foram diagnosticados com hipoPRL, totalizando um percentual de 4,4% de hipoPRL na amostra total. Em relação ao sexo, 13 eram pacientes masculinos (61,9%) e 8 femininas, com média de idade na apresentação de 43,8 anos na acromegalia e 56,6 anos nos pacientes com NF. </w:t>
      </w:r>
      <w:proofErr w:type="gramStart"/>
      <w:r w:rsidRPr="000E628C">
        <w:rPr>
          <w:color w:val="1A1A1A"/>
          <w:sz w:val="22"/>
        </w:rPr>
        <w:t>A</w:t>
      </w:r>
      <w:proofErr w:type="gramEnd"/>
      <w:r w:rsidRPr="000E628C">
        <w:rPr>
          <w:color w:val="1A1A1A"/>
          <w:sz w:val="22"/>
        </w:rPr>
        <w:t xml:space="preserve"> estratificação do trofismo mostrou 8 (50%) casos de obesidade e 7 (43,8%) de sobrepeso, em 16 casos avaliados. Foram observados 5 casos de DM tipo 2 (23,8%) e 6 casos (28,6%) de dislipidemia, dos quais 3 pacientes com dislipidemia mista, 3 com hipercolesterolemia isolada e 1 com hipertrigliceridemia isolada. Quanto aos demais eixos hipofisários, 7 pacientes (33,3%), 1 com acromegalia e 6 com NF, apresentavam 4 eixos deficitários. Diagnóstico referido, uso de medicação específica ou sinal/sintoma sugestivo de doença psiquiátrica foram observados em 6 casos (30%). </w:t>
      </w:r>
      <w:r w:rsidRPr="000E628C">
        <w:rPr>
          <w:b/>
          <w:color w:val="1A1A1A"/>
          <w:sz w:val="22"/>
        </w:rPr>
        <w:t xml:space="preserve">Conclusão: </w:t>
      </w:r>
      <w:r w:rsidRPr="000E628C">
        <w:rPr>
          <w:color w:val="1A1A1A"/>
          <w:sz w:val="22"/>
        </w:rPr>
        <w:t>A ocorrência de hipoPRL nesta amostra é inferior à citada na literatura. Observou-se um aumento significativo nos diagnósticos de obesidade e sobrepeso. DM, dislipidemia e transtorno psiquiátrico foram detectadas em um terço da amostra. Esses resultados apontam para a necessidade de maior atenção, especialmente pelas implicações metabólicas, e no diagnóstico de hipoPRL, uma doença até recentemente negligenciada.</w:t>
      </w:r>
    </w:p>
    <w:p w:rsidR="000B5910" w:rsidRDefault="000B5910">
      <w:pPr>
        <w:pBdr>
          <w:bottom w:val="single" w:sz="4" w:space="2" w:color="808080"/>
        </w:pBdr>
        <w:spacing w:before="16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Universidade Federal de Ciências da Saúde de Porto Alegre</w:t>
      </w:r>
    </w:p>
    <w:p w:rsidR="000B5910" w:rsidRPr="000E628C" w:rsidRDefault="00057F5C">
      <w:pPr>
        <w:spacing w:after="0" w:line="252" w:lineRule="auto"/>
        <w:rPr>
          <w:sz w:val="16"/>
          <w:szCs w:val="16"/>
        </w:rPr>
      </w:pPr>
      <w:r w:rsidRPr="000E628C">
        <w:rPr>
          <w:color w:val="595959"/>
          <w:sz w:val="16"/>
          <w:szCs w:val="16"/>
          <w:vertAlign w:val="superscript"/>
        </w:rPr>
        <w:t>2</w:t>
      </w:r>
      <w:r w:rsidRPr="000E628C">
        <w:rPr>
          <w:color w:val="595959"/>
          <w:sz w:val="16"/>
          <w:szCs w:val="16"/>
        </w:rPr>
        <w:t xml:space="preserve"> Universidade Luterana do Brasil</w:t>
      </w:r>
    </w:p>
    <w:p w:rsidR="000B5910" w:rsidRDefault="000B5910">
      <w:pPr>
        <w:sectPr w:rsidR="000B5910">
          <w:headerReference w:type="default" r:id="rId175"/>
          <w:footerReference w:type="default" r:id="rId17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ACROMEGALIA COM ELEVAÇÃO DISCRETA DE IGF-1 (MICROMEGALIA): DIAGNÓSTICO E EVOLUÇÃO CLÍNICA DE UM PACIENTE IDOSO</w:t>
      </w:r>
    </w:p>
    <w:p w:rsidR="000B5910" w:rsidRPr="000E628C" w:rsidRDefault="00057F5C">
      <w:pPr>
        <w:spacing w:after="40" w:line="252" w:lineRule="auto"/>
        <w:jc w:val="right"/>
        <w:rPr>
          <w:szCs w:val="21"/>
        </w:rPr>
      </w:pPr>
      <w:r w:rsidRPr="000E628C">
        <w:rPr>
          <w:color w:val="1A1A1A"/>
          <w:szCs w:val="21"/>
        </w:rPr>
        <w:t>Luana Assis da Silva</w:t>
      </w:r>
      <w:r w:rsidRPr="000E628C">
        <w:rPr>
          <w:color w:val="1A1A1A"/>
          <w:szCs w:val="21"/>
          <w:vertAlign w:val="superscript"/>
        </w:rPr>
        <w:t>1</w:t>
      </w:r>
      <w:r w:rsidRPr="000E628C">
        <w:rPr>
          <w:szCs w:val="21"/>
        </w:rPr>
        <w:br/>
      </w:r>
      <w:r w:rsidRPr="000E628C">
        <w:rPr>
          <w:color w:val="1A1A1A"/>
          <w:szCs w:val="21"/>
        </w:rPr>
        <w:t>Rebeca Segantin de Rezende</w:t>
      </w:r>
      <w:r w:rsidRPr="000E628C">
        <w:rPr>
          <w:color w:val="1A1A1A"/>
          <w:szCs w:val="21"/>
          <w:vertAlign w:val="superscript"/>
        </w:rPr>
        <w:t>1</w:t>
      </w:r>
      <w:r w:rsidRPr="000E628C">
        <w:rPr>
          <w:szCs w:val="21"/>
        </w:rPr>
        <w:br/>
      </w:r>
      <w:r w:rsidRPr="000E628C">
        <w:rPr>
          <w:color w:val="1A1A1A"/>
          <w:szCs w:val="21"/>
        </w:rPr>
        <w:t>Érica Navarro Scaliante</w:t>
      </w:r>
      <w:r w:rsidRPr="000E628C">
        <w:rPr>
          <w:color w:val="1A1A1A"/>
          <w:szCs w:val="21"/>
          <w:vertAlign w:val="superscript"/>
        </w:rPr>
        <w:t>1</w:t>
      </w:r>
      <w:r w:rsidRPr="000E628C">
        <w:rPr>
          <w:szCs w:val="21"/>
        </w:rPr>
        <w:br/>
      </w:r>
      <w:r w:rsidRPr="000E628C">
        <w:rPr>
          <w:color w:val="1A1A1A"/>
          <w:szCs w:val="21"/>
        </w:rPr>
        <w:t>Anna Catarina Gatzk de Arruda</w:t>
      </w:r>
      <w:r w:rsidRPr="000E628C">
        <w:rPr>
          <w:color w:val="1A1A1A"/>
          <w:szCs w:val="21"/>
          <w:vertAlign w:val="superscript"/>
        </w:rPr>
        <w:t>1</w:t>
      </w:r>
      <w:r w:rsidRPr="000E628C">
        <w:rPr>
          <w:szCs w:val="21"/>
        </w:rPr>
        <w:br/>
      </w:r>
      <w:r w:rsidRPr="000E628C">
        <w:rPr>
          <w:color w:val="1A1A1A"/>
          <w:szCs w:val="21"/>
        </w:rPr>
        <w:t>Tânia Longo Mazzuco</w:t>
      </w:r>
      <w:r w:rsidRPr="000E628C">
        <w:rPr>
          <w:color w:val="1A1A1A"/>
          <w:szCs w:val="21"/>
          <w:vertAlign w:val="superscript"/>
        </w:rPr>
        <w:t>1</w:t>
      </w:r>
    </w:p>
    <w:p w:rsidR="000B5910" w:rsidRDefault="00057F5C">
      <w:pPr>
        <w:spacing w:before="240" w:after="100"/>
      </w:pPr>
      <w:r>
        <w:rPr>
          <w:b/>
          <w:color w:val="1A1A1A"/>
          <w:sz w:val="22"/>
        </w:rPr>
        <w:t>RESUMO</w:t>
      </w:r>
    </w:p>
    <w:p w:rsidR="000B5910" w:rsidRPr="000E628C" w:rsidRDefault="00057F5C">
      <w:pPr>
        <w:spacing w:after="80"/>
        <w:jc w:val="both"/>
        <w:rPr>
          <w:sz w:val="22"/>
        </w:rPr>
      </w:pPr>
      <w:r w:rsidRPr="000E628C">
        <w:rPr>
          <w:b/>
          <w:color w:val="1A1A1A"/>
          <w:sz w:val="22"/>
        </w:rPr>
        <w:t>Apresentação do Caso</w:t>
      </w:r>
      <w:r w:rsidRPr="000E628C">
        <w:rPr>
          <w:color w:val="1A1A1A"/>
          <w:sz w:val="22"/>
        </w:rPr>
        <w:t xml:space="preserve">: Paciente masculino, 72 anos, foi encaminhado em 2013 para avaliação de um microadenoma hipofisário de 5 milímetros, identificado incidentalmente durante investigação de cefaleia. No interrogatório dirigido, relatou aumento recente da numeração de calçados e edema de mãos e pés. Ao exame físico, apresentava macroglossia e edema infraorbitário. O histórico médico incluía diabetes mellitus tipo 2 em uso de insulina, obesidade grau I, hipertensão arterial sistêmica, bócio difuso com hipertireoidismo, síndrome da apneia obstrutiva do sono e cirurgia prévia para síndrome do túnel do carpo. Os exames laboratoriais sanguíneos iniciais revelaram IGF-1 discretamente elevado (223 ng/mL; limite superior: 210 ng/mL) e GH basal de 1,4 mg/L. O teste de supressão após sobrecarga oral de 75 g de glicose demonstrou um nadir de GH de 0,53 mg/L. Uma segunda dosagem de IGF-1 revelou elevação de 1,6 vezes o limite superior para idade e sexo. </w:t>
      </w:r>
      <w:r w:rsidRPr="000E628C">
        <w:rPr>
          <w:b/>
          <w:color w:val="1A1A1A"/>
          <w:sz w:val="22"/>
        </w:rPr>
        <w:t>Discussão:</w:t>
      </w:r>
      <w:r w:rsidRPr="000E628C">
        <w:rPr>
          <w:color w:val="1A1A1A"/>
          <w:sz w:val="22"/>
        </w:rPr>
        <w:t xml:space="preserve"> O diagnóstico de acromegalia foi estabelecido pela correlação entre o quadro clínico típico e </w:t>
      </w:r>
      <w:proofErr w:type="gramStart"/>
      <w:r w:rsidRPr="000E628C">
        <w:rPr>
          <w:color w:val="1A1A1A"/>
          <w:sz w:val="22"/>
        </w:rPr>
        <w:t>a</w:t>
      </w:r>
      <w:proofErr w:type="gramEnd"/>
      <w:r w:rsidRPr="000E628C">
        <w:rPr>
          <w:color w:val="1A1A1A"/>
          <w:sz w:val="22"/>
        </w:rPr>
        <w:t xml:space="preserve"> elevação do IGF-1, apesar dos níveis de GH não estarem acentuadamente elevados, configuração discutida na literatura como micromegalia. Diante da recusa do paciente ao procedimento cirúrgico devido à idade e comorbidades, iniciou-se o tratamento medicamentoso com análogo da somatostatina. O paciente apresentou excelente resposta, com melhora da cefaleia, da poliartralgia e redução do edema. Observou-se benefício metabólico sistêmico significativo: </w:t>
      </w:r>
      <w:proofErr w:type="gramStart"/>
      <w:r w:rsidRPr="000E628C">
        <w:rPr>
          <w:color w:val="1A1A1A"/>
          <w:sz w:val="22"/>
        </w:rPr>
        <w:t>a</w:t>
      </w:r>
      <w:proofErr w:type="gramEnd"/>
      <w:r w:rsidRPr="000E628C">
        <w:rPr>
          <w:color w:val="1A1A1A"/>
          <w:sz w:val="22"/>
        </w:rPr>
        <w:t xml:space="preserve"> insulina foi suspensa, a terapia anti-hipertensiva foi reduzida e o tratamento para hipertireoidismo com tapazol foi descontinuado após o controle hormonal. Em 2018, o paciente atingiu critérios de remissão da micromegalia, mantendo níveis de IGF-1 e GH controlados em acompanhamentos subsequentes até 2023. </w:t>
      </w:r>
      <w:r w:rsidRPr="000E628C">
        <w:rPr>
          <w:b/>
          <w:color w:val="1A1A1A"/>
          <w:sz w:val="22"/>
        </w:rPr>
        <w:t>Considerações finais</w:t>
      </w:r>
      <w:r w:rsidRPr="000E628C">
        <w:rPr>
          <w:color w:val="1A1A1A"/>
          <w:sz w:val="22"/>
        </w:rPr>
        <w:t xml:space="preserve">: O caso ressalta </w:t>
      </w:r>
      <w:proofErr w:type="gramStart"/>
      <w:r w:rsidRPr="000E628C">
        <w:rPr>
          <w:color w:val="1A1A1A"/>
          <w:sz w:val="22"/>
        </w:rPr>
        <w:t>a</w:t>
      </w:r>
      <w:proofErr w:type="gramEnd"/>
      <w:r w:rsidRPr="000E628C">
        <w:rPr>
          <w:color w:val="1A1A1A"/>
          <w:sz w:val="22"/>
        </w:rPr>
        <w:t xml:space="preserve"> importância da suspeição clínica de acromegalia mesmo diante de incidentalomas e níveis de GH limítrofes. A resposta sustentada ao tratamento com análogos da somatostatina demonstra que o controle da acromegalia pode resultar em uma melhora substancial das comorbidades metabólicas e cardiovasculares, sendo uma alternativa eficaz para pacientes que não podem ou não desejam realizar a cirurgia.</w:t>
      </w:r>
    </w:p>
    <w:p w:rsidR="000B5910" w:rsidRDefault="000B5910">
      <w:pPr>
        <w:pBdr>
          <w:bottom w:val="single" w:sz="4" w:space="2" w:color="808080"/>
        </w:pBdr>
        <w:spacing w:before="16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Universidade Estadual de Londrina</w:t>
      </w:r>
    </w:p>
    <w:p w:rsidR="000B5910" w:rsidRDefault="000B5910">
      <w:pPr>
        <w:sectPr w:rsidR="000B5910">
          <w:headerReference w:type="default" r:id="rId177"/>
          <w:footerReference w:type="default" r:id="rId17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DOR, DISABILIDADE FUNCIONAL E ALTERAÇÕES RADIOLÓGICAS EM MÃOS E OMBROS DE PACIENTES COM ACROMEGALIA</w:t>
      </w:r>
    </w:p>
    <w:p w:rsidR="000B5910" w:rsidRPr="000E628C" w:rsidRDefault="00057F5C">
      <w:pPr>
        <w:spacing w:after="40" w:line="252" w:lineRule="auto"/>
        <w:jc w:val="right"/>
        <w:rPr>
          <w:szCs w:val="21"/>
        </w:rPr>
      </w:pPr>
      <w:r w:rsidRPr="000E628C">
        <w:rPr>
          <w:color w:val="1A1A1A"/>
          <w:szCs w:val="21"/>
        </w:rPr>
        <w:t>Gabriela de Aguiar dos Santos</w:t>
      </w:r>
      <w:r w:rsidRPr="000E628C">
        <w:rPr>
          <w:color w:val="1A1A1A"/>
          <w:szCs w:val="21"/>
          <w:vertAlign w:val="superscript"/>
        </w:rPr>
        <w:t>1</w:t>
      </w:r>
      <w:r w:rsidRPr="000E628C">
        <w:rPr>
          <w:szCs w:val="21"/>
        </w:rPr>
        <w:br/>
      </w:r>
      <w:r w:rsidRPr="000E628C">
        <w:rPr>
          <w:color w:val="1A1A1A"/>
          <w:szCs w:val="21"/>
        </w:rPr>
        <w:t>Matheus Nejar Coan</w:t>
      </w:r>
      <w:r w:rsidRPr="000E628C">
        <w:rPr>
          <w:color w:val="1A1A1A"/>
          <w:szCs w:val="21"/>
          <w:vertAlign w:val="superscript"/>
        </w:rPr>
        <w:t>1</w:t>
      </w:r>
      <w:r w:rsidRPr="000E628C">
        <w:rPr>
          <w:szCs w:val="21"/>
        </w:rPr>
        <w:br/>
      </w:r>
      <w:r w:rsidRPr="000E628C">
        <w:rPr>
          <w:color w:val="1A1A1A"/>
          <w:szCs w:val="21"/>
        </w:rPr>
        <w:t>Diego Paixão Côrtes Aguiar</w:t>
      </w:r>
      <w:r w:rsidRPr="000E628C">
        <w:rPr>
          <w:color w:val="1A1A1A"/>
          <w:szCs w:val="21"/>
          <w:vertAlign w:val="superscript"/>
        </w:rPr>
        <w:t>2</w:t>
      </w:r>
      <w:r w:rsidRPr="000E628C">
        <w:rPr>
          <w:szCs w:val="21"/>
        </w:rPr>
        <w:br/>
      </w:r>
      <w:r w:rsidRPr="000E628C">
        <w:rPr>
          <w:color w:val="1A1A1A"/>
          <w:szCs w:val="21"/>
        </w:rPr>
        <w:t>Lucas Elias Lise Simoneti</w:t>
      </w:r>
      <w:r w:rsidRPr="000E628C">
        <w:rPr>
          <w:color w:val="1A1A1A"/>
          <w:szCs w:val="21"/>
          <w:vertAlign w:val="superscript"/>
        </w:rPr>
        <w:t>1</w:t>
      </w:r>
      <w:r w:rsidRPr="000E628C">
        <w:rPr>
          <w:szCs w:val="21"/>
        </w:rPr>
        <w:br/>
      </w:r>
      <w:r w:rsidRPr="000E628C">
        <w:rPr>
          <w:color w:val="1A1A1A"/>
          <w:szCs w:val="21"/>
        </w:rPr>
        <w:t>Miriam da Costa Oliveira</w:t>
      </w:r>
      <w:r w:rsidRPr="000E628C">
        <w:rPr>
          <w:color w:val="1A1A1A"/>
          <w:szCs w:val="21"/>
          <w:vertAlign w:val="superscript"/>
        </w:rPr>
        <w:t>1</w:t>
      </w:r>
    </w:p>
    <w:p w:rsidR="000B5910" w:rsidRDefault="00057F5C">
      <w:pPr>
        <w:spacing w:before="240" w:after="100"/>
      </w:pPr>
      <w:r>
        <w:rPr>
          <w:b/>
          <w:color w:val="1A1A1A"/>
          <w:sz w:val="22"/>
        </w:rPr>
        <w:t>RESUMO</w:t>
      </w:r>
    </w:p>
    <w:p w:rsidR="000B5910" w:rsidRPr="000E628C" w:rsidRDefault="00057F5C">
      <w:pPr>
        <w:spacing w:after="80"/>
        <w:jc w:val="both"/>
        <w:rPr>
          <w:sz w:val="22"/>
        </w:rPr>
      </w:pPr>
      <w:r w:rsidRPr="000E628C">
        <w:rPr>
          <w:b/>
          <w:color w:val="1A1A1A"/>
          <w:sz w:val="22"/>
        </w:rPr>
        <w:t>Introdução:</w:t>
      </w:r>
      <w:r w:rsidRPr="000E628C">
        <w:rPr>
          <w:color w:val="1A1A1A"/>
          <w:sz w:val="22"/>
        </w:rPr>
        <w:t xml:space="preserve"> A acromegalia é uma condição rara caracterizada por aumento da secreção do hormônio do crescimento (GH) e do fator de crescimento semelhante à insulina tipo 1 (IGF-1), levando a múltiplas consequências, como dano articular. </w:t>
      </w:r>
      <w:proofErr w:type="gramStart"/>
      <w:r w:rsidRPr="000E628C">
        <w:rPr>
          <w:color w:val="1A1A1A"/>
          <w:sz w:val="22"/>
        </w:rPr>
        <w:t>A</w:t>
      </w:r>
      <w:proofErr w:type="gramEnd"/>
      <w:r w:rsidRPr="000E628C">
        <w:rPr>
          <w:color w:val="1A1A1A"/>
          <w:sz w:val="22"/>
        </w:rPr>
        <w:t xml:space="preserve"> artropatia constitui importante causa de morbidade e incapacidade funcional e, mesmo após o tratamento e o controle bioquímico da doença, algumas sequelas persistem, afetando significativamente a vida do paciente. </w:t>
      </w:r>
      <w:r w:rsidRPr="000E628C">
        <w:rPr>
          <w:b/>
          <w:color w:val="1A1A1A"/>
          <w:sz w:val="22"/>
        </w:rPr>
        <w:t>Objetivo</w:t>
      </w:r>
      <w:r w:rsidRPr="000E628C">
        <w:rPr>
          <w:color w:val="1A1A1A"/>
          <w:sz w:val="22"/>
        </w:rPr>
        <w:t>: Investigar prospectivamente a presença de artropatia em pacientes com acromegalia, avaliando queixas articulares dos membros superiores e inferiores e lesões estabelecidas nas articulações dos membros superiores por meio de radiografias.</w:t>
      </w:r>
      <w:r w:rsidRPr="000E628C">
        <w:rPr>
          <w:b/>
          <w:color w:val="1A1A1A"/>
          <w:sz w:val="22"/>
        </w:rPr>
        <w:t xml:space="preserve"> Métodos:</w:t>
      </w:r>
      <w:r w:rsidRPr="000E628C">
        <w:rPr>
          <w:color w:val="1A1A1A"/>
          <w:sz w:val="22"/>
        </w:rPr>
        <w:t xml:space="preserve"> Foi realizado um estudo prospectivo em pacientes com acromegalia não controlada, controlada com medicação e curada. Quarenta e dois pacientes participaram da pesquisa, que incluiu revisão de prontuários, aplicação de questionários e avaliação radiológica dos ombros e mãos. </w:t>
      </w:r>
      <w:r w:rsidRPr="000E628C">
        <w:rPr>
          <w:b/>
          <w:color w:val="1A1A1A"/>
          <w:sz w:val="22"/>
        </w:rPr>
        <w:t>Resultados</w:t>
      </w:r>
      <w:r w:rsidRPr="000E628C">
        <w:rPr>
          <w:color w:val="1A1A1A"/>
          <w:sz w:val="22"/>
        </w:rPr>
        <w:t xml:space="preserve">: A amostra foi composta por 42 pacientes, com idade entre 30 e 74 anos, sendo 50% do sexo feminino e 50% do sexo masculino. A maioria (90,4%) dos tumores foi classificada como macroadenoma. Dos 38 pacientes submetidos à cirurgia, 34 foram operados por via transesfenoidal e 30 necessitaram de terapia medicamentosa adjuvante. Queixas articulares estavam presentes em 85,7% dos pacientes, enquanto dano radiológico foi observado em 88,8%, sendo </w:t>
      </w:r>
      <w:proofErr w:type="gramStart"/>
      <w:r w:rsidRPr="000E628C">
        <w:rPr>
          <w:color w:val="1A1A1A"/>
          <w:sz w:val="22"/>
        </w:rPr>
        <w:t>a</w:t>
      </w:r>
      <w:proofErr w:type="gramEnd"/>
      <w:r w:rsidRPr="000E628C">
        <w:rPr>
          <w:color w:val="1A1A1A"/>
          <w:sz w:val="22"/>
        </w:rPr>
        <w:t xml:space="preserve"> artrose glenoumeral a mais frequente. Uma minoria dos casos (14,2%) apresentou limitações graves ao responder ao questionário QuickDASH. Observou-se associação significativa entre o escore radiográfico e as queixas articulares espontâneas dos pacientes. </w:t>
      </w:r>
      <w:r w:rsidRPr="000E628C">
        <w:rPr>
          <w:b/>
          <w:color w:val="1A1A1A"/>
          <w:sz w:val="22"/>
        </w:rPr>
        <w:t xml:space="preserve">Conclusão: </w:t>
      </w:r>
      <w:r w:rsidRPr="000E628C">
        <w:rPr>
          <w:color w:val="1A1A1A"/>
          <w:sz w:val="22"/>
        </w:rPr>
        <w:t xml:space="preserve">O presente estudo demonstra elevada frequência de queixas articulares em pacientes com acromegalia. As limitações identificadas têm potencial para impactar não apenas os custos dos sistemas de saúde, mas também a qualidade de vida dos pacientes. </w:t>
      </w:r>
    </w:p>
    <w:p w:rsidR="000B5910" w:rsidRDefault="000B5910">
      <w:pPr>
        <w:pBdr>
          <w:bottom w:val="single" w:sz="4" w:space="2" w:color="808080"/>
        </w:pBdr>
        <w:spacing w:before="16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Universidade Federal de Ciências da Saúde de Porto Alegre</w:t>
      </w:r>
    </w:p>
    <w:p w:rsidR="000B5910" w:rsidRPr="000E628C" w:rsidRDefault="00057F5C">
      <w:pPr>
        <w:spacing w:after="0" w:line="252" w:lineRule="auto"/>
        <w:rPr>
          <w:sz w:val="16"/>
          <w:szCs w:val="16"/>
        </w:rPr>
      </w:pPr>
      <w:r w:rsidRPr="000E628C">
        <w:rPr>
          <w:color w:val="595959"/>
          <w:sz w:val="16"/>
          <w:szCs w:val="16"/>
          <w:vertAlign w:val="superscript"/>
        </w:rPr>
        <w:t>2</w:t>
      </w:r>
      <w:r w:rsidRPr="000E628C">
        <w:rPr>
          <w:color w:val="595959"/>
          <w:sz w:val="16"/>
          <w:szCs w:val="16"/>
        </w:rPr>
        <w:t xml:space="preserve"> Universidade Luterana do Brasil</w:t>
      </w:r>
    </w:p>
    <w:p w:rsidR="000B5910" w:rsidRDefault="000B5910">
      <w:pPr>
        <w:sectPr w:rsidR="000B5910">
          <w:headerReference w:type="default" r:id="rId179"/>
          <w:footerReference w:type="default" r:id="rId18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HIPONATREMIA INDUZIDA POR INIBIDOR DE CHECKPOINT IMUNE (ICI) – IMPORTÂNCIA DO DIAGNÓSTICO DIFERENCIAL</w:t>
      </w:r>
    </w:p>
    <w:p w:rsidR="000B5910" w:rsidRPr="000E628C" w:rsidRDefault="00057F5C">
      <w:pPr>
        <w:spacing w:after="40" w:line="252" w:lineRule="auto"/>
        <w:jc w:val="right"/>
        <w:rPr>
          <w:szCs w:val="21"/>
        </w:rPr>
      </w:pPr>
      <w:r w:rsidRPr="000E628C">
        <w:rPr>
          <w:color w:val="1A1A1A"/>
          <w:szCs w:val="21"/>
        </w:rPr>
        <w:t>Júlia Vives Leal</w:t>
      </w:r>
      <w:r w:rsidRPr="000E628C">
        <w:rPr>
          <w:color w:val="1A1A1A"/>
          <w:szCs w:val="21"/>
          <w:vertAlign w:val="superscript"/>
        </w:rPr>
        <w:t>1</w:t>
      </w:r>
      <w:r w:rsidRPr="000E628C">
        <w:rPr>
          <w:szCs w:val="21"/>
        </w:rPr>
        <w:br/>
      </w:r>
      <w:r w:rsidRPr="000E628C">
        <w:rPr>
          <w:color w:val="1A1A1A"/>
          <w:szCs w:val="21"/>
        </w:rPr>
        <w:t>Luiza Rosso da Silva Pritsch</w:t>
      </w:r>
      <w:r w:rsidRPr="000E628C">
        <w:rPr>
          <w:color w:val="1A1A1A"/>
          <w:szCs w:val="21"/>
          <w:vertAlign w:val="superscript"/>
        </w:rPr>
        <w:t>1</w:t>
      </w:r>
      <w:r w:rsidRPr="000E628C">
        <w:rPr>
          <w:szCs w:val="21"/>
        </w:rPr>
        <w:br/>
      </w:r>
      <w:r w:rsidRPr="000E628C">
        <w:rPr>
          <w:color w:val="1A1A1A"/>
          <w:szCs w:val="21"/>
        </w:rPr>
        <w:t>Maria Antônia Dutra Nicolodi</w:t>
      </w:r>
      <w:r w:rsidRPr="000E628C">
        <w:rPr>
          <w:color w:val="1A1A1A"/>
          <w:szCs w:val="21"/>
          <w:vertAlign w:val="superscript"/>
        </w:rPr>
        <w:t>1</w:t>
      </w:r>
      <w:r w:rsidRPr="000E628C">
        <w:rPr>
          <w:szCs w:val="21"/>
        </w:rPr>
        <w:br/>
      </w:r>
      <w:r w:rsidRPr="000E628C">
        <w:rPr>
          <w:color w:val="1A1A1A"/>
          <w:szCs w:val="21"/>
        </w:rPr>
        <w:t>Roberta Marobin</w:t>
      </w:r>
      <w:r w:rsidRPr="000E628C">
        <w:rPr>
          <w:color w:val="1A1A1A"/>
          <w:szCs w:val="21"/>
          <w:vertAlign w:val="superscript"/>
        </w:rPr>
        <w:t>1</w:t>
      </w:r>
      <w:r w:rsidRPr="000E628C">
        <w:rPr>
          <w:szCs w:val="21"/>
        </w:rPr>
        <w:br/>
      </w:r>
      <w:r w:rsidRPr="000E628C">
        <w:rPr>
          <w:color w:val="1A1A1A"/>
          <w:szCs w:val="21"/>
        </w:rPr>
        <w:t>Luciana Roesch Schreiner</w:t>
      </w:r>
      <w:r w:rsidRPr="000E628C">
        <w:rPr>
          <w:color w:val="1A1A1A"/>
          <w:szCs w:val="21"/>
          <w:vertAlign w:val="superscript"/>
        </w:rPr>
        <w:t>1</w:t>
      </w:r>
      <w:r w:rsidRPr="000E628C">
        <w:rPr>
          <w:szCs w:val="21"/>
        </w:rPr>
        <w:br/>
      </w:r>
      <w:r w:rsidRPr="000E628C">
        <w:rPr>
          <w:color w:val="1A1A1A"/>
          <w:szCs w:val="21"/>
        </w:rPr>
        <w:t>Guilherme Alcides Flores Soares Rollin</w:t>
      </w:r>
      <w:r w:rsidRPr="000E628C">
        <w:rPr>
          <w:color w:val="1A1A1A"/>
          <w:szCs w:val="21"/>
          <w:vertAlign w:val="superscript"/>
        </w:rPr>
        <w:t>1</w:t>
      </w:r>
      <w:r w:rsidRPr="000E628C">
        <w:rPr>
          <w:szCs w:val="21"/>
        </w:rPr>
        <w:br/>
      </w:r>
      <w:r w:rsidRPr="000E628C">
        <w:rPr>
          <w:color w:val="1A1A1A"/>
          <w:szCs w:val="21"/>
        </w:rPr>
        <w:t>Tobias Skrebsky de Almeida</w:t>
      </w:r>
      <w:r w:rsidRPr="000E628C">
        <w:rPr>
          <w:color w:val="1A1A1A"/>
          <w:szCs w:val="21"/>
          <w:vertAlign w:val="superscript"/>
        </w:rPr>
        <w:t>1</w:t>
      </w:r>
    </w:p>
    <w:p w:rsidR="000B5910" w:rsidRDefault="00057F5C">
      <w:pPr>
        <w:spacing w:before="200" w:after="100"/>
      </w:pPr>
      <w:r>
        <w:rPr>
          <w:b/>
          <w:color w:val="1A1A1A"/>
          <w:sz w:val="22"/>
          <w:szCs w:val="24"/>
        </w:rPr>
        <w:t>RESUMO</w:t>
      </w:r>
    </w:p>
    <w:p w:rsidR="000B5910" w:rsidRPr="000E628C" w:rsidRDefault="00057F5C">
      <w:pPr>
        <w:spacing w:after="80" w:line="264" w:lineRule="auto"/>
        <w:jc w:val="both"/>
        <w:rPr>
          <w:sz w:val="22"/>
          <w:szCs w:val="21"/>
        </w:rPr>
      </w:pPr>
      <w:r w:rsidRPr="000E628C">
        <w:rPr>
          <w:b/>
          <w:color w:val="1A1A1A"/>
          <w:sz w:val="22"/>
          <w:szCs w:val="21"/>
        </w:rPr>
        <w:t>Apresentação do Caso:</w:t>
      </w:r>
      <w:r w:rsidRPr="000E628C">
        <w:rPr>
          <w:color w:val="1A1A1A"/>
          <w:sz w:val="22"/>
          <w:szCs w:val="21"/>
        </w:rPr>
        <w:t xml:space="preserve"> Paciente feminina, 75 anos, com história de cirurgia bariátrica, diabetes mellitus tipo 2 e hipotireoidismo. Diagnosticada com adenocarcinoma mucinoso de pulmão, iniciou tratamento com quimioterapia, Nivolumabe e Ipilimumabe. Seis semanas após, desenvolveu tireoidite induzida por ICI, com suspensão transitória da levotiroxina e retorno a hipotireoidismo. Dois meses após, apresenta fadiga, perda ponderal e dificuldade de deambulação. Laboratoriais demonstraram cortisol 0,9 mcg/dL, ACTH &lt;1,5 pg/mL, SDHEA 5 mcg/dL, IGF1 baixo e FSH inapropriadamente baixo, recebendo diagnóstico de hipofisite induzida por ICI. Na ocasião, sódio 122 mEq/L, com queda para 118 mEq/L apesar de hidrocortisona em dose de estresse, necessitando solução salina hipertônica. Recebe alta com prednisona 10mg, com posterior dificuldade na redução de dose devido fraqueza e inapetência. Cinco meses depois, busca a emergência com piora clínica, apresentando novamente hiponatremia (Na 121 mEq/L), sem fator precipitante evidente, eutireoidea e em uso de prednisona 10 mg, sendo aventada hipótese de hiponatremia por SIADH induzida por ICI. Exames demonstraram osmolaridade sérica 266 mOsm/Kg, osmolaridade urinária 197 mOsm/Kg e sódio urinário 29 mEq/L, compatíveis com a hipótese. Teve melhora significativa da natremia após restrição hídrica, sustentada nos 2 meses subsequentes (Na 133 mEq/L). </w:t>
      </w:r>
      <w:r w:rsidRPr="000E628C">
        <w:rPr>
          <w:b/>
          <w:color w:val="1A1A1A"/>
          <w:sz w:val="22"/>
          <w:szCs w:val="21"/>
        </w:rPr>
        <w:t xml:space="preserve">Discussão: </w:t>
      </w:r>
      <w:r w:rsidRPr="000E628C">
        <w:rPr>
          <w:color w:val="1A1A1A"/>
          <w:sz w:val="22"/>
          <w:szCs w:val="21"/>
        </w:rPr>
        <w:t xml:space="preserve">Hiponatremia é comumente observada em pacientes oncológicos em uso de ICI, podendo ser causada por múltiplos mecanismos, como SIADH e endocrinopatias. A SIADH é definida por osmolaridade sérica &lt;275 mOsm/Kg, osmolaridade urinária &gt;100 mOsm/Kg e sódio urinário &gt;30 mEq/L, na presença de euvolemia e ausência de outras causas (como insuficiência adrenal e hipotireoidismo descompensados). Seu mecanismo não está claro, mas pode estar relacionado à liberação de citocinas, como IL-6, que geram vasodilatação e redução do volume arterial, resultando em hipersecreção de ADH. Estudos mostram que, entre os casos de hiponatremia grave (&lt;134 mEq/L) em pacientes em uso de ICI, SIADH é a causa mais comum (36% dos casos). </w:t>
      </w:r>
      <w:r w:rsidRPr="000E628C">
        <w:rPr>
          <w:b/>
          <w:color w:val="1A1A1A"/>
          <w:sz w:val="22"/>
          <w:szCs w:val="21"/>
        </w:rPr>
        <w:t>Considerações finais</w:t>
      </w:r>
      <w:r w:rsidRPr="000E628C">
        <w:rPr>
          <w:color w:val="1A1A1A"/>
          <w:sz w:val="22"/>
          <w:szCs w:val="21"/>
        </w:rPr>
        <w:t xml:space="preserve">: A hiponatremia é frequente e potencialmente grave em pacientes oncológicos em uso de ICI, podendo ter diversas etiologias, incluindo SIADH. Assim, esse diagnóstico deve ser considerado em pacientes que mantenham hiponatremia mesmo após </w:t>
      </w:r>
      <w:proofErr w:type="gramStart"/>
      <w:r w:rsidRPr="000E628C">
        <w:rPr>
          <w:color w:val="1A1A1A"/>
          <w:sz w:val="22"/>
          <w:szCs w:val="21"/>
        </w:rPr>
        <w:t>a</w:t>
      </w:r>
      <w:proofErr w:type="gramEnd"/>
      <w:r w:rsidRPr="000E628C">
        <w:rPr>
          <w:color w:val="1A1A1A"/>
          <w:sz w:val="22"/>
          <w:szCs w:val="21"/>
        </w:rPr>
        <w:t xml:space="preserve"> adequada reposição das outras deficiências hormonais, permitindo tratamento direcionado e eficaz.</w:t>
      </w:r>
    </w:p>
    <w:p w:rsidR="000B5910" w:rsidRDefault="000B5910">
      <w:pPr>
        <w:pBdr>
          <w:bottom w:val="single" w:sz="4" w:space="2" w:color="808080"/>
        </w:pBdr>
        <w:spacing w:before="120" w:after="40"/>
      </w:pPr>
    </w:p>
    <w:p w:rsidR="000B5910" w:rsidRPr="000E628C" w:rsidRDefault="00057F5C">
      <w:pPr>
        <w:spacing w:after="0" w:line="252" w:lineRule="auto"/>
        <w:rPr>
          <w:sz w:val="16"/>
          <w:szCs w:val="16"/>
        </w:rPr>
      </w:pPr>
      <w:r w:rsidRPr="000E628C">
        <w:rPr>
          <w:color w:val="595959"/>
          <w:sz w:val="16"/>
          <w:szCs w:val="16"/>
          <w:vertAlign w:val="superscript"/>
        </w:rPr>
        <w:t>1</w:t>
      </w:r>
      <w:r w:rsidRPr="000E628C">
        <w:rPr>
          <w:color w:val="595959"/>
          <w:sz w:val="16"/>
          <w:szCs w:val="16"/>
        </w:rPr>
        <w:t xml:space="preserve"> Hospital Moinhos de Vento</w:t>
      </w:r>
    </w:p>
    <w:p w:rsidR="000B5910" w:rsidRDefault="000B5910">
      <w:pPr>
        <w:sectPr w:rsidR="000B5910">
          <w:headerReference w:type="default" r:id="rId181"/>
          <w:footerReference w:type="default" r:id="rId18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EFEITO NEUROPROTETOR DO CACAU EM CÉLULAS DA MICRÓGLIA (BV2) SUBMETIDAS À GLICOTOXICIDADE</w:t>
      </w:r>
    </w:p>
    <w:p w:rsidR="000B5910" w:rsidRPr="0089429E" w:rsidRDefault="00057F5C">
      <w:pPr>
        <w:spacing w:after="40" w:line="252" w:lineRule="auto"/>
        <w:jc w:val="right"/>
        <w:rPr>
          <w:szCs w:val="21"/>
        </w:rPr>
      </w:pPr>
      <w:r w:rsidRPr="0089429E">
        <w:rPr>
          <w:color w:val="1A1A1A"/>
          <w:szCs w:val="21"/>
        </w:rPr>
        <w:t>Marina de Assis Brasil Mendes Monteiro</w:t>
      </w:r>
      <w:r w:rsidRPr="0089429E">
        <w:rPr>
          <w:color w:val="1A1A1A"/>
          <w:szCs w:val="21"/>
          <w:vertAlign w:val="superscript"/>
        </w:rPr>
        <w:t>1</w:t>
      </w:r>
      <w:r w:rsidRPr="0089429E">
        <w:rPr>
          <w:szCs w:val="21"/>
        </w:rPr>
        <w:br/>
      </w:r>
      <w:r w:rsidRPr="0089429E">
        <w:rPr>
          <w:color w:val="1A1A1A"/>
          <w:szCs w:val="21"/>
        </w:rPr>
        <w:t>Andressa Alberti Fumaco</w:t>
      </w:r>
      <w:r w:rsidRPr="0089429E">
        <w:rPr>
          <w:color w:val="1A1A1A"/>
          <w:szCs w:val="21"/>
          <w:vertAlign w:val="superscript"/>
        </w:rPr>
        <w:t>1</w:t>
      </w:r>
      <w:r w:rsidRPr="0089429E">
        <w:rPr>
          <w:szCs w:val="21"/>
        </w:rPr>
        <w:br/>
      </w:r>
      <w:r w:rsidRPr="0089429E">
        <w:rPr>
          <w:color w:val="1A1A1A"/>
          <w:szCs w:val="21"/>
        </w:rPr>
        <w:t>Camila Medianeira da Silva D’ávila</w:t>
      </w:r>
      <w:r w:rsidRPr="0089429E">
        <w:rPr>
          <w:color w:val="1A1A1A"/>
          <w:szCs w:val="21"/>
          <w:vertAlign w:val="superscript"/>
        </w:rPr>
        <w:t>1</w:t>
      </w:r>
      <w:r w:rsidRPr="0089429E">
        <w:rPr>
          <w:szCs w:val="21"/>
        </w:rPr>
        <w:br/>
      </w:r>
      <w:r w:rsidRPr="0089429E">
        <w:rPr>
          <w:color w:val="1A1A1A"/>
          <w:szCs w:val="21"/>
        </w:rPr>
        <w:t>Cristina Basso Hübner</w:t>
      </w:r>
      <w:r w:rsidRPr="0089429E">
        <w:rPr>
          <w:color w:val="1A1A1A"/>
          <w:szCs w:val="21"/>
          <w:vertAlign w:val="superscript"/>
        </w:rPr>
        <w:t>1</w:t>
      </w:r>
      <w:r w:rsidRPr="0089429E">
        <w:rPr>
          <w:szCs w:val="21"/>
        </w:rPr>
        <w:br/>
      </w:r>
      <w:r w:rsidRPr="0089429E">
        <w:rPr>
          <w:color w:val="1A1A1A"/>
          <w:szCs w:val="21"/>
        </w:rPr>
        <w:t>Francine Carla Cadoná</w:t>
      </w:r>
      <w:r w:rsidRPr="0089429E">
        <w:rPr>
          <w:color w:val="1A1A1A"/>
          <w:szCs w:val="21"/>
          <w:vertAlign w:val="superscript"/>
        </w:rPr>
        <w:t>1</w:t>
      </w:r>
    </w:p>
    <w:p w:rsidR="000B5910" w:rsidRDefault="00057F5C">
      <w:pPr>
        <w:spacing w:before="240" w:after="100"/>
      </w:pPr>
      <w:r>
        <w:rPr>
          <w:b/>
          <w:color w:val="1A1A1A"/>
          <w:sz w:val="22"/>
        </w:rPr>
        <w:t>RESUMO</w:t>
      </w:r>
    </w:p>
    <w:p w:rsidR="000B5910" w:rsidRPr="0089429E" w:rsidRDefault="00057F5C">
      <w:pPr>
        <w:spacing w:after="80"/>
        <w:jc w:val="both"/>
        <w:rPr>
          <w:sz w:val="22"/>
        </w:rPr>
      </w:pPr>
      <w:r w:rsidRPr="0089429E">
        <w:rPr>
          <w:b/>
          <w:color w:val="1A1A1A"/>
          <w:sz w:val="22"/>
        </w:rPr>
        <w:t>Introdução:</w:t>
      </w:r>
      <w:r w:rsidRPr="0089429E">
        <w:rPr>
          <w:color w:val="1A1A1A"/>
          <w:sz w:val="22"/>
        </w:rPr>
        <w:t xml:space="preserve"> O diabetes mellitus (DM) é uma doença crônica de alta prevalência, caracterizada por hiperglicemia persistente e associada a processos inflamatórios sistêmicos e disfunções metabólicas. Evidências recentes sugerem que o estresse oxidativo induzido pela hiperglicemia crônica associada ao DM é um dos principais fatores envolvidos no desenvolvimento e na progressão das doenças neurodegenerativas, como as doenças de Alzheimer e de Parkinson. Níveis elevados de glicose comprometem o metabolismo mitocondrial e promovem </w:t>
      </w:r>
      <w:proofErr w:type="gramStart"/>
      <w:r w:rsidRPr="0089429E">
        <w:rPr>
          <w:color w:val="1A1A1A"/>
          <w:sz w:val="22"/>
        </w:rPr>
        <w:t>a</w:t>
      </w:r>
      <w:proofErr w:type="gramEnd"/>
      <w:r w:rsidRPr="0089429E">
        <w:rPr>
          <w:color w:val="1A1A1A"/>
          <w:sz w:val="22"/>
        </w:rPr>
        <w:t xml:space="preserve"> ativação de células gliais, como astrócitos e micróglias, processos que têm sido associados ao acúmulo de proteínas tau hiperfosforiladas e de Î±-sinucleína para o desenvolvimento dessas doenças. Nesse contexto, produtos naturais como o cacau (Theobroma cacao L.) emergem como estratégias promissoras devido às suas propriedades antioxidantes, anti-inflamatórias e antidiabéticas. </w:t>
      </w:r>
      <w:r w:rsidRPr="0089429E">
        <w:rPr>
          <w:b/>
          <w:color w:val="1A1A1A"/>
          <w:sz w:val="22"/>
        </w:rPr>
        <w:t>Objetivo</w:t>
      </w:r>
      <w:r w:rsidRPr="0089429E">
        <w:rPr>
          <w:color w:val="1A1A1A"/>
          <w:sz w:val="22"/>
        </w:rPr>
        <w:t xml:space="preserve">: Diante disso, o presente teve como objetivo investigar o efeito neuroprotetor do cacau em células de micróglia (BV2) submetidas à glicotoxicidade. </w:t>
      </w:r>
      <w:r w:rsidRPr="0089429E">
        <w:rPr>
          <w:b/>
          <w:color w:val="1A1A1A"/>
          <w:sz w:val="22"/>
        </w:rPr>
        <w:t>Métodos:</w:t>
      </w:r>
      <w:r w:rsidRPr="0089429E">
        <w:rPr>
          <w:color w:val="1A1A1A"/>
          <w:sz w:val="22"/>
        </w:rPr>
        <w:t xml:space="preserve"> Para isso, células BV2 foram expostas a diferentes concentrações de cacau (1, 5, 10, 50 e 100 µg/mL) associadas a 200 mM de glicose, avaliando-se a viabilidade e proliferação celular após os períodos de incubação de 24 e 72 h, respectivamente. </w:t>
      </w:r>
      <w:r w:rsidRPr="0089429E">
        <w:rPr>
          <w:b/>
          <w:color w:val="1A1A1A"/>
          <w:sz w:val="22"/>
        </w:rPr>
        <w:t>Resultados:</w:t>
      </w:r>
      <w:r w:rsidRPr="0089429E">
        <w:rPr>
          <w:color w:val="1A1A1A"/>
          <w:sz w:val="22"/>
        </w:rPr>
        <w:t xml:space="preserve"> O efeito citotóxico da glicose a 200 mM foi observado por uma redução significativa na viabilidade e proliferação celular quando comparado ao controle negativo em 24 (p &lt; 0,05) e 72 horas (p &lt; 0,001), respectivamente. Dentro de 24 horas, o cacau aumentou a viabilidade celular na concentração de 50 µg/mL (p &lt; 0,01) e 100 µg/mL (p &lt; 0,05). No entanto, o cacau não apresentou efeito significativo nos níveis de proliferação celular após 72h. </w:t>
      </w:r>
      <w:r w:rsidRPr="0089429E">
        <w:rPr>
          <w:b/>
          <w:color w:val="1A1A1A"/>
          <w:sz w:val="22"/>
        </w:rPr>
        <w:t>Conclusão:</w:t>
      </w:r>
      <w:r w:rsidRPr="0089429E">
        <w:rPr>
          <w:color w:val="1A1A1A"/>
          <w:sz w:val="22"/>
        </w:rPr>
        <w:t xml:space="preserve"> Os resultados demonstraram que o cacau exerceu efeito protetor sobre as células BV2 frente à glicotoxicidade, aumentando sua viabilidade celular. Embora o estudo tenha sido desenvolvido in vitro, esses dados reforçam o potencial terapêutico de produtos naturais como o cacau para o desenvolvimento de novas estratégias voltadas à prevenção e ao tratamento de distúrbios neuroinflamatórios associados ao DM e a doenças neurodegenerativas, reforçando a necessidade de mais estudos para esclarecer os mecanismos biomoleculares dessa associação e de sua aplicabilidade in vivo.</w:t>
      </w:r>
    </w:p>
    <w:p w:rsidR="000B5910" w:rsidRDefault="000B5910">
      <w:pPr>
        <w:pBdr>
          <w:bottom w:val="single" w:sz="4" w:space="2" w:color="808080"/>
        </w:pBdr>
        <w:spacing w:before="16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Universidade Franciscana</w:t>
      </w:r>
    </w:p>
    <w:p w:rsidR="000B5910" w:rsidRDefault="000B5910">
      <w:pPr>
        <w:sectPr w:rsidR="000B5910">
          <w:headerReference w:type="default" r:id="rId183"/>
          <w:footerReference w:type="default" r:id="rId18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AGONISTAS DO RECEPTOR DE GLP-1 E DEPRESSÃO: UMA REVISÃO SISTEMATIZADA DOS MECANISMOS NEUROENDÓCRINOS E EVIDÊNCIAS CLÍNICAS</w:t>
      </w:r>
    </w:p>
    <w:p w:rsidR="000B5910" w:rsidRPr="0089429E" w:rsidRDefault="00057F5C">
      <w:pPr>
        <w:spacing w:after="40" w:line="252" w:lineRule="auto"/>
        <w:jc w:val="right"/>
        <w:rPr>
          <w:szCs w:val="21"/>
        </w:rPr>
      </w:pPr>
      <w:r w:rsidRPr="0089429E">
        <w:rPr>
          <w:color w:val="1A1A1A"/>
          <w:szCs w:val="21"/>
        </w:rPr>
        <w:t>Márcio Cruvinel Barbosa de Macêdo</w:t>
      </w:r>
      <w:r w:rsidRPr="0089429E">
        <w:rPr>
          <w:color w:val="1A1A1A"/>
          <w:szCs w:val="21"/>
          <w:vertAlign w:val="superscript"/>
        </w:rPr>
        <w:t>1</w:t>
      </w:r>
      <w:r w:rsidRPr="0089429E">
        <w:rPr>
          <w:szCs w:val="21"/>
        </w:rPr>
        <w:br/>
      </w:r>
      <w:r w:rsidRPr="0089429E">
        <w:rPr>
          <w:color w:val="1A1A1A"/>
          <w:szCs w:val="21"/>
        </w:rPr>
        <w:t>Claudiomir Ruviaro Junior</w:t>
      </w:r>
      <w:r w:rsidRPr="0089429E">
        <w:rPr>
          <w:color w:val="1A1A1A"/>
          <w:szCs w:val="21"/>
          <w:vertAlign w:val="superscript"/>
        </w:rPr>
        <w:t>1</w:t>
      </w:r>
      <w:r w:rsidRPr="0089429E">
        <w:rPr>
          <w:szCs w:val="21"/>
        </w:rPr>
        <w:br/>
      </w:r>
      <w:r w:rsidRPr="0089429E">
        <w:rPr>
          <w:color w:val="1A1A1A"/>
          <w:szCs w:val="21"/>
        </w:rPr>
        <w:t>Leonardo Silveira Bastolla</w:t>
      </w:r>
      <w:r w:rsidRPr="0089429E">
        <w:rPr>
          <w:color w:val="1A1A1A"/>
          <w:szCs w:val="21"/>
          <w:vertAlign w:val="superscript"/>
        </w:rPr>
        <w:t>1</w:t>
      </w:r>
      <w:r w:rsidRPr="0089429E">
        <w:rPr>
          <w:szCs w:val="21"/>
        </w:rPr>
        <w:br/>
      </w:r>
      <w:r w:rsidRPr="0089429E">
        <w:rPr>
          <w:color w:val="1A1A1A"/>
          <w:szCs w:val="21"/>
        </w:rPr>
        <w:t>Luis Gustavo Karan Hoffmann</w:t>
      </w:r>
      <w:r w:rsidRPr="0089429E">
        <w:rPr>
          <w:color w:val="1A1A1A"/>
          <w:szCs w:val="21"/>
          <w:vertAlign w:val="superscript"/>
        </w:rPr>
        <w:t>1</w:t>
      </w:r>
    </w:p>
    <w:p w:rsidR="000B5910" w:rsidRDefault="00057F5C">
      <w:pPr>
        <w:spacing w:before="240" w:after="100"/>
      </w:pPr>
      <w:r>
        <w:rPr>
          <w:b/>
          <w:color w:val="1A1A1A"/>
          <w:sz w:val="22"/>
        </w:rPr>
        <w:t>RESUMO</w:t>
      </w:r>
    </w:p>
    <w:p w:rsidR="000B5910" w:rsidRPr="0089429E" w:rsidRDefault="00057F5C">
      <w:pPr>
        <w:spacing w:after="80"/>
        <w:jc w:val="both"/>
        <w:rPr>
          <w:sz w:val="22"/>
        </w:rPr>
      </w:pPr>
      <w:r w:rsidRPr="0089429E">
        <w:rPr>
          <w:b/>
          <w:color w:val="1A1A1A"/>
          <w:sz w:val="22"/>
        </w:rPr>
        <w:t xml:space="preserve">Introdução: </w:t>
      </w:r>
      <w:r w:rsidRPr="0089429E">
        <w:rPr>
          <w:color w:val="1A1A1A"/>
          <w:sz w:val="22"/>
        </w:rPr>
        <w:t xml:space="preserve">A depressão é uma importante causa de incapacidade global e frequentemente coexiste com resistência à insulina, compartilhando vias fisiopatológicas relacionadas à inflamação crônica e disfunção neuroendócrina. Nesse contexto, os agonistas do receptor do peptídeo semelhante ao glucagon-1 (GLP-1) têm sido investigados não apenas por seus efeitos metabólicos, mas também por seu potencial de modular neuroinflamação, promover neuroplasticidade e influenciar a regulação do humor. Entretanto, as evidências clínicas permanecem heterogêneas. </w:t>
      </w:r>
      <w:r w:rsidRPr="0089429E">
        <w:rPr>
          <w:b/>
          <w:color w:val="1A1A1A"/>
          <w:sz w:val="22"/>
        </w:rPr>
        <w:t xml:space="preserve">Objetivo: </w:t>
      </w:r>
      <w:r w:rsidRPr="0089429E">
        <w:rPr>
          <w:color w:val="1A1A1A"/>
          <w:sz w:val="22"/>
        </w:rPr>
        <w:t xml:space="preserve">Este estudo revisa mecanismos neuroendócrinos e evidências clínicas sobre a relação entre agonistas de GLP-1 e depressão. </w:t>
      </w:r>
      <w:r w:rsidRPr="0089429E">
        <w:rPr>
          <w:b/>
          <w:color w:val="1A1A1A"/>
          <w:sz w:val="22"/>
        </w:rPr>
        <w:t xml:space="preserve">Métodos: </w:t>
      </w:r>
      <w:r w:rsidRPr="0089429E">
        <w:rPr>
          <w:color w:val="1A1A1A"/>
          <w:sz w:val="22"/>
        </w:rPr>
        <w:t xml:space="preserve">Realizou-se revisão estruturada da literatura na base PubMed, considerando artigos publicados entre 2014–2026. </w:t>
      </w:r>
      <w:proofErr w:type="gramStart"/>
      <w:r w:rsidRPr="0089429E">
        <w:rPr>
          <w:color w:val="1A1A1A"/>
          <w:sz w:val="22"/>
        </w:rPr>
        <w:t>A</w:t>
      </w:r>
      <w:proofErr w:type="gramEnd"/>
      <w:r w:rsidRPr="0089429E">
        <w:rPr>
          <w:color w:val="1A1A1A"/>
          <w:sz w:val="22"/>
        </w:rPr>
        <w:t xml:space="preserve"> estratégia de busca utilizou os descritores: “psychiatric disorders”, “depression”, “depressive disorder”, “mental health” e “GLP-1 receptor agonists”, combinados por operadores booleanos. </w:t>
      </w:r>
      <w:r w:rsidRPr="0089429E">
        <w:rPr>
          <w:b/>
          <w:color w:val="1A1A1A"/>
          <w:sz w:val="22"/>
        </w:rPr>
        <w:t xml:space="preserve">Resultados: </w:t>
      </w:r>
      <w:r w:rsidRPr="0089429E">
        <w:rPr>
          <w:color w:val="1A1A1A"/>
          <w:sz w:val="22"/>
        </w:rPr>
        <w:t xml:space="preserve">A busca inicial identificou 228 estudos. Após triagem por título e resumo e avaliação dos textos completos conforme critérios de elegibilidade, foram incluídos 14 artigos, entre ensaios clínicos, estudos observacionais e revisões sistemáticas que investigaram </w:t>
      </w:r>
      <w:proofErr w:type="gramStart"/>
      <w:r w:rsidRPr="0089429E">
        <w:rPr>
          <w:color w:val="1A1A1A"/>
          <w:sz w:val="22"/>
        </w:rPr>
        <w:t>a</w:t>
      </w:r>
      <w:proofErr w:type="gramEnd"/>
      <w:r w:rsidRPr="0089429E">
        <w:rPr>
          <w:color w:val="1A1A1A"/>
          <w:sz w:val="22"/>
        </w:rPr>
        <w:t xml:space="preserve"> associação entre agonistas de GLP-1 e sintomas depressivos. Agonistas do receptor de GLP-1 demonstraram efeitos antidepressivos em modelos pré-clínicos, reduzindo comportamentos depressivos, atenuando ativação microglial e diminuindo marcadores de neuroinflamação, além de promover neurogênese e plasticidade sináptica em regiões associadas ao humor, como hipocampo e córtex pré-frontal (Li et al., 2025). Estudos clínicos ainda são limitados; entretanto, metanálises evidenciam redução de escores depressivos em pacientes tratados com esses fármacos quando comparados aos controles (Chen et al., 2024). Mecanisticamente, </w:t>
      </w:r>
      <w:proofErr w:type="gramStart"/>
      <w:r w:rsidRPr="0089429E">
        <w:rPr>
          <w:color w:val="1A1A1A"/>
          <w:sz w:val="22"/>
        </w:rPr>
        <w:t>a</w:t>
      </w:r>
      <w:proofErr w:type="gramEnd"/>
      <w:r w:rsidRPr="0089429E">
        <w:rPr>
          <w:color w:val="1A1A1A"/>
          <w:sz w:val="22"/>
        </w:rPr>
        <w:t xml:space="preserve"> ativação central do receptor de GLP-1 pode modular sistemas monoaminérgicos, melhorar a sinalização insulínica cerebral e regular o eixo hipotálamo-hipófise-adrenal, com redução de citocinas pró-inflamatórias (Bucciarelli et al., 2025; Smith et al., 2024). Apesar disso, análises observacionais e dados de farmacovigilância mostram resultados heterogêneos. </w:t>
      </w:r>
      <w:r w:rsidRPr="0089429E">
        <w:rPr>
          <w:b/>
          <w:color w:val="1A1A1A"/>
          <w:sz w:val="22"/>
        </w:rPr>
        <w:t xml:space="preserve">Conclusão: </w:t>
      </w:r>
      <w:r w:rsidRPr="0089429E">
        <w:rPr>
          <w:color w:val="1A1A1A"/>
          <w:sz w:val="22"/>
        </w:rPr>
        <w:t>Agonistas do receptor de GLP-1 apresentam potencial efeito antidepressivo sustentado por mecanismos neuroinflamatórios plausíveis. Entretanto, a heterogeneidade dos achados clínicos reforça a necessidade de ensaios clínicos randomizados com desfechos psiquiátricos primários.</w:t>
      </w:r>
    </w:p>
    <w:p w:rsidR="000B5910" w:rsidRDefault="000B5910">
      <w:pPr>
        <w:pBdr>
          <w:bottom w:val="single" w:sz="4" w:space="2" w:color="808080"/>
        </w:pBdr>
        <w:spacing w:before="16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PUC-RS</w:t>
      </w:r>
    </w:p>
    <w:p w:rsidR="000B5910" w:rsidRDefault="000B5910">
      <w:pPr>
        <w:sectPr w:rsidR="000B5910">
          <w:headerReference w:type="default" r:id="rId185"/>
          <w:footerReference w:type="default" r:id="rId186"/>
          <w:pgSz w:w="12240" w:h="15840"/>
          <w:pgMar w:top="1417" w:right="1417" w:bottom="1417" w:left="1417" w:header="680" w:footer="680" w:gutter="0"/>
          <w:cols w:space="720"/>
        </w:sectPr>
      </w:pPr>
    </w:p>
    <w:p w:rsidR="000B5910" w:rsidRDefault="00057F5C" w:rsidP="0089429E">
      <w:pPr>
        <w:spacing w:before="80" w:after="160" w:line="240" w:lineRule="auto"/>
        <w:jc w:val="center"/>
        <w:rPr>
          <w:spacing w:val="-17"/>
          <w:sz w:val="22"/>
          <w:szCs w:val="24"/>
        </w:rPr>
      </w:pPr>
      <w:r>
        <w:rPr>
          <w:b/>
          <w:color w:val="1A1A1A"/>
          <w:spacing w:val="-17"/>
          <w:sz w:val="28"/>
          <w:szCs w:val="24"/>
        </w:rPr>
        <w:lastRenderedPageBreak/>
        <w:t>TUMORES HIPOFISÁRIOS SECRETORES DE HORMÔNIO DO CRESCIMENTO E A CO-SECREÇÃO DE PROLACTINA: UMA ANÁLISE DE PACIENTES COM ACROMEGALIA E COM SOMATOTROPINOMAS SILENCIOSOS</w:t>
      </w:r>
    </w:p>
    <w:p w:rsidR="000B5910" w:rsidRPr="0089429E" w:rsidRDefault="00057F5C" w:rsidP="0089429E">
      <w:pPr>
        <w:spacing w:after="40" w:line="240" w:lineRule="auto"/>
        <w:jc w:val="right"/>
        <w:rPr>
          <w:szCs w:val="21"/>
        </w:rPr>
      </w:pPr>
      <w:r w:rsidRPr="0089429E">
        <w:rPr>
          <w:color w:val="1A1A1A"/>
          <w:szCs w:val="21"/>
        </w:rPr>
        <w:t>Rebeca Segantin de Rezende</w:t>
      </w:r>
      <w:r w:rsidRPr="0089429E">
        <w:rPr>
          <w:color w:val="1A1A1A"/>
          <w:szCs w:val="21"/>
          <w:vertAlign w:val="superscript"/>
        </w:rPr>
        <w:t>1</w:t>
      </w:r>
      <w:r w:rsidRPr="0089429E">
        <w:rPr>
          <w:szCs w:val="21"/>
        </w:rPr>
        <w:br/>
      </w:r>
      <w:r w:rsidRPr="0089429E">
        <w:rPr>
          <w:color w:val="1A1A1A"/>
          <w:szCs w:val="21"/>
        </w:rPr>
        <w:t>Luana Assis da Silva</w:t>
      </w:r>
      <w:r w:rsidRPr="0089429E">
        <w:rPr>
          <w:color w:val="1A1A1A"/>
          <w:szCs w:val="21"/>
          <w:vertAlign w:val="superscript"/>
        </w:rPr>
        <w:t>1</w:t>
      </w:r>
      <w:r w:rsidRPr="0089429E">
        <w:rPr>
          <w:szCs w:val="21"/>
        </w:rPr>
        <w:br/>
      </w:r>
      <w:r w:rsidRPr="0089429E">
        <w:rPr>
          <w:color w:val="1A1A1A"/>
          <w:szCs w:val="21"/>
        </w:rPr>
        <w:t>Bianca de Lima RIbeiro</w:t>
      </w:r>
      <w:r w:rsidRPr="0089429E">
        <w:rPr>
          <w:color w:val="1A1A1A"/>
          <w:szCs w:val="21"/>
          <w:vertAlign w:val="superscript"/>
        </w:rPr>
        <w:t>1</w:t>
      </w:r>
      <w:r w:rsidRPr="0089429E">
        <w:rPr>
          <w:szCs w:val="21"/>
        </w:rPr>
        <w:br/>
      </w:r>
      <w:r w:rsidRPr="0089429E">
        <w:rPr>
          <w:color w:val="1A1A1A"/>
          <w:szCs w:val="21"/>
        </w:rPr>
        <w:t>Márcio de Barros</w:t>
      </w:r>
      <w:r w:rsidRPr="0089429E">
        <w:rPr>
          <w:color w:val="1A1A1A"/>
          <w:szCs w:val="21"/>
          <w:vertAlign w:val="superscript"/>
        </w:rPr>
        <w:t>1</w:t>
      </w:r>
      <w:r w:rsidRPr="0089429E">
        <w:rPr>
          <w:szCs w:val="21"/>
        </w:rPr>
        <w:br/>
      </w:r>
      <w:r w:rsidRPr="0089429E">
        <w:rPr>
          <w:color w:val="1A1A1A"/>
          <w:szCs w:val="21"/>
        </w:rPr>
        <w:t>Carolina Firmo Barbosa</w:t>
      </w:r>
      <w:r w:rsidRPr="0089429E">
        <w:rPr>
          <w:color w:val="1A1A1A"/>
          <w:szCs w:val="21"/>
          <w:vertAlign w:val="superscript"/>
        </w:rPr>
        <w:t>1</w:t>
      </w:r>
      <w:r w:rsidRPr="0089429E">
        <w:rPr>
          <w:szCs w:val="21"/>
        </w:rPr>
        <w:br/>
      </w:r>
      <w:r w:rsidRPr="0089429E">
        <w:rPr>
          <w:color w:val="1A1A1A"/>
          <w:szCs w:val="21"/>
        </w:rPr>
        <w:t>Maria Fernanda Melim Gomes Carneiro</w:t>
      </w:r>
      <w:r w:rsidRPr="0089429E">
        <w:rPr>
          <w:color w:val="1A1A1A"/>
          <w:szCs w:val="21"/>
          <w:vertAlign w:val="superscript"/>
        </w:rPr>
        <w:t>1</w:t>
      </w:r>
      <w:r w:rsidRPr="0089429E">
        <w:rPr>
          <w:szCs w:val="21"/>
        </w:rPr>
        <w:br/>
      </w:r>
      <w:r w:rsidRPr="0089429E">
        <w:rPr>
          <w:color w:val="1A1A1A"/>
          <w:szCs w:val="21"/>
        </w:rPr>
        <w:t>Milena Yuko Sasaki</w:t>
      </w:r>
      <w:r w:rsidRPr="0089429E">
        <w:rPr>
          <w:color w:val="1A1A1A"/>
          <w:szCs w:val="21"/>
          <w:vertAlign w:val="superscript"/>
        </w:rPr>
        <w:t>1</w:t>
      </w:r>
      <w:r w:rsidRPr="0089429E">
        <w:rPr>
          <w:szCs w:val="21"/>
        </w:rPr>
        <w:br/>
      </w:r>
      <w:r w:rsidRPr="0089429E">
        <w:rPr>
          <w:color w:val="1A1A1A"/>
          <w:szCs w:val="21"/>
        </w:rPr>
        <w:t>Mateus Augusto Mello</w:t>
      </w:r>
      <w:r w:rsidRPr="0089429E">
        <w:rPr>
          <w:color w:val="1A1A1A"/>
          <w:szCs w:val="21"/>
          <w:vertAlign w:val="superscript"/>
        </w:rPr>
        <w:t>1</w:t>
      </w:r>
      <w:r w:rsidRPr="0089429E">
        <w:rPr>
          <w:szCs w:val="21"/>
        </w:rPr>
        <w:br/>
      </w:r>
      <w:r w:rsidRPr="0089429E">
        <w:rPr>
          <w:color w:val="1A1A1A"/>
          <w:szCs w:val="21"/>
        </w:rPr>
        <w:t>Carolina de Freitas Souza</w:t>
      </w:r>
      <w:r w:rsidRPr="0089429E">
        <w:rPr>
          <w:color w:val="1A1A1A"/>
          <w:szCs w:val="21"/>
          <w:vertAlign w:val="superscript"/>
        </w:rPr>
        <w:t>1</w:t>
      </w:r>
      <w:r w:rsidRPr="0089429E">
        <w:rPr>
          <w:szCs w:val="21"/>
        </w:rPr>
        <w:br/>
      </w:r>
      <w:r w:rsidRPr="0089429E">
        <w:rPr>
          <w:color w:val="1A1A1A"/>
          <w:szCs w:val="21"/>
        </w:rPr>
        <w:t>Tainara Trindade de Carvalho</w:t>
      </w:r>
      <w:r w:rsidRPr="0089429E">
        <w:rPr>
          <w:color w:val="1A1A1A"/>
          <w:szCs w:val="21"/>
          <w:vertAlign w:val="superscript"/>
        </w:rPr>
        <w:t>1</w:t>
      </w:r>
      <w:r w:rsidRPr="0089429E">
        <w:rPr>
          <w:szCs w:val="21"/>
        </w:rPr>
        <w:br/>
      </w:r>
      <w:r w:rsidRPr="0089429E">
        <w:rPr>
          <w:color w:val="1A1A1A"/>
          <w:szCs w:val="21"/>
        </w:rPr>
        <w:t>Rafaela Amado Costa</w:t>
      </w:r>
      <w:r w:rsidRPr="0089429E">
        <w:rPr>
          <w:color w:val="1A1A1A"/>
          <w:szCs w:val="21"/>
          <w:vertAlign w:val="superscript"/>
        </w:rPr>
        <w:t>1</w:t>
      </w:r>
      <w:r w:rsidRPr="0089429E">
        <w:rPr>
          <w:szCs w:val="21"/>
        </w:rPr>
        <w:br/>
      </w:r>
      <w:r w:rsidRPr="0089429E">
        <w:rPr>
          <w:color w:val="1A1A1A"/>
          <w:szCs w:val="21"/>
        </w:rPr>
        <w:t>Pedro Augusto Ripoli de Meira</w:t>
      </w:r>
      <w:r w:rsidRPr="0089429E">
        <w:rPr>
          <w:color w:val="1A1A1A"/>
          <w:szCs w:val="21"/>
          <w:vertAlign w:val="superscript"/>
        </w:rPr>
        <w:t>1</w:t>
      </w:r>
      <w:r w:rsidRPr="0089429E">
        <w:rPr>
          <w:szCs w:val="21"/>
        </w:rPr>
        <w:br/>
      </w:r>
      <w:r w:rsidRPr="0089429E">
        <w:rPr>
          <w:color w:val="1A1A1A"/>
          <w:szCs w:val="21"/>
        </w:rPr>
        <w:t>Milena Gabriela Santana Dalberto</w:t>
      </w:r>
      <w:r w:rsidRPr="0089429E">
        <w:rPr>
          <w:color w:val="1A1A1A"/>
          <w:szCs w:val="21"/>
          <w:vertAlign w:val="superscript"/>
        </w:rPr>
        <w:t>1</w:t>
      </w:r>
      <w:r w:rsidRPr="0089429E">
        <w:rPr>
          <w:szCs w:val="21"/>
        </w:rPr>
        <w:br/>
      </w:r>
      <w:r w:rsidRPr="0089429E">
        <w:rPr>
          <w:color w:val="1A1A1A"/>
          <w:szCs w:val="21"/>
        </w:rPr>
        <w:t>Vitória Karoline Justino dos Santos</w:t>
      </w:r>
      <w:r w:rsidRPr="0089429E">
        <w:rPr>
          <w:color w:val="1A1A1A"/>
          <w:szCs w:val="21"/>
          <w:vertAlign w:val="superscript"/>
        </w:rPr>
        <w:t>1</w:t>
      </w:r>
      <w:r w:rsidRPr="0089429E">
        <w:rPr>
          <w:szCs w:val="21"/>
        </w:rPr>
        <w:br/>
      </w:r>
      <w:r w:rsidRPr="0089429E">
        <w:rPr>
          <w:color w:val="1A1A1A"/>
          <w:szCs w:val="21"/>
        </w:rPr>
        <w:t>Bruna Matarazzo</w:t>
      </w:r>
      <w:r w:rsidRPr="0089429E">
        <w:rPr>
          <w:color w:val="1A1A1A"/>
          <w:szCs w:val="21"/>
          <w:vertAlign w:val="superscript"/>
        </w:rPr>
        <w:t>1</w:t>
      </w:r>
      <w:r w:rsidRPr="0089429E">
        <w:rPr>
          <w:szCs w:val="21"/>
        </w:rPr>
        <w:br/>
      </w:r>
      <w:r w:rsidRPr="0089429E">
        <w:rPr>
          <w:color w:val="1A1A1A"/>
          <w:szCs w:val="21"/>
        </w:rPr>
        <w:t>Alison Rombi Malia</w:t>
      </w:r>
      <w:r w:rsidRPr="0089429E">
        <w:rPr>
          <w:color w:val="1A1A1A"/>
          <w:szCs w:val="21"/>
          <w:vertAlign w:val="superscript"/>
        </w:rPr>
        <w:t>1</w:t>
      </w:r>
      <w:r w:rsidRPr="0089429E">
        <w:rPr>
          <w:szCs w:val="21"/>
        </w:rPr>
        <w:br/>
      </w:r>
      <w:r w:rsidRPr="0089429E">
        <w:rPr>
          <w:color w:val="1A1A1A"/>
          <w:szCs w:val="21"/>
        </w:rPr>
        <w:t>Daniela Rudgeri Derossi</w:t>
      </w:r>
      <w:r w:rsidRPr="0089429E">
        <w:rPr>
          <w:color w:val="1A1A1A"/>
          <w:szCs w:val="21"/>
          <w:vertAlign w:val="superscript"/>
        </w:rPr>
        <w:t>1</w:t>
      </w:r>
      <w:r w:rsidRPr="0089429E">
        <w:rPr>
          <w:szCs w:val="21"/>
        </w:rPr>
        <w:br/>
      </w:r>
      <w:r w:rsidRPr="0089429E">
        <w:rPr>
          <w:color w:val="1A1A1A"/>
          <w:szCs w:val="21"/>
        </w:rPr>
        <w:t>Allan James de Castro Bussmann</w:t>
      </w:r>
      <w:r w:rsidRPr="0089429E">
        <w:rPr>
          <w:color w:val="1A1A1A"/>
          <w:szCs w:val="21"/>
          <w:vertAlign w:val="superscript"/>
        </w:rPr>
        <w:t>1</w:t>
      </w:r>
      <w:r w:rsidRPr="0089429E">
        <w:rPr>
          <w:szCs w:val="21"/>
        </w:rPr>
        <w:br/>
      </w:r>
      <w:r w:rsidRPr="0089429E">
        <w:rPr>
          <w:color w:val="1A1A1A"/>
          <w:szCs w:val="21"/>
        </w:rPr>
        <w:t>Mariana Yoshii Tramontin</w:t>
      </w:r>
      <w:r w:rsidRPr="0089429E">
        <w:rPr>
          <w:color w:val="1A1A1A"/>
          <w:szCs w:val="21"/>
          <w:vertAlign w:val="superscript"/>
        </w:rPr>
        <w:t>1</w:t>
      </w:r>
      <w:r w:rsidRPr="0089429E">
        <w:rPr>
          <w:szCs w:val="21"/>
        </w:rPr>
        <w:br/>
      </w:r>
      <w:r w:rsidRPr="0089429E">
        <w:rPr>
          <w:color w:val="1A1A1A"/>
          <w:szCs w:val="21"/>
        </w:rPr>
        <w:t>Tânia Longo Mazzuco</w:t>
      </w:r>
      <w:r w:rsidRPr="0089429E">
        <w:rPr>
          <w:color w:val="1A1A1A"/>
          <w:szCs w:val="21"/>
          <w:vertAlign w:val="superscript"/>
        </w:rPr>
        <w:t>1</w:t>
      </w:r>
    </w:p>
    <w:p w:rsidR="000B5910" w:rsidRDefault="00057F5C" w:rsidP="0089429E">
      <w:pPr>
        <w:spacing w:before="160" w:after="100" w:line="240" w:lineRule="auto"/>
      </w:pPr>
      <w:r>
        <w:rPr>
          <w:b/>
          <w:color w:val="1A1A1A"/>
          <w:sz w:val="22"/>
          <w:szCs w:val="24"/>
        </w:rPr>
        <w:t>RESUMO</w:t>
      </w:r>
    </w:p>
    <w:p w:rsidR="000B5910" w:rsidRPr="0089429E" w:rsidRDefault="00057F5C" w:rsidP="0089429E">
      <w:pPr>
        <w:spacing w:after="80" w:line="240" w:lineRule="auto"/>
        <w:jc w:val="both"/>
        <w:rPr>
          <w:sz w:val="22"/>
        </w:rPr>
      </w:pPr>
      <w:r w:rsidRPr="0089429E">
        <w:rPr>
          <w:b/>
          <w:color w:val="1A1A1A"/>
          <w:sz w:val="22"/>
        </w:rPr>
        <w:t>Introdução:</w:t>
      </w:r>
      <w:r w:rsidRPr="0089429E">
        <w:rPr>
          <w:color w:val="1A1A1A"/>
          <w:sz w:val="22"/>
        </w:rPr>
        <w:t xml:space="preserve"> Tumores hipofisários secretores de hormônio do crescimento apresentam heterogeneidade clínica, podendo manifestar-se como acromegalia ou permanecer clinicamente silenciosos. Ademais, parte desses tumores pode apresentar co-secreção de prolactina, característica associada a diferentes aspectos clínicos e biológicos descritos na literatura. </w:t>
      </w:r>
      <w:r w:rsidRPr="0089429E">
        <w:rPr>
          <w:b/>
          <w:color w:val="1A1A1A"/>
          <w:sz w:val="22"/>
        </w:rPr>
        <w:t>Objetivo:</w:t>
      </w:r>
      <w:r w:rsidRPr="0089429E">
        <w:rPr>
          <w:color w:val="1A1A1A"/>
          <w:sz w:val="22"/>
        </w:rPr>
        <w:t xml:space="preserve"> Avaliar as características demográficas, clínicas, hormonais e tumorais de pacientes com tumor hipofisário secretor de hormônio do crescimento tratados com terapia medicamentosa, analisando a frequência de co-secreção de prolactina e comparando tumores associados à acromegalia e tumores silenciosos. </w:t>
      </w:r>
      <w:r w:rsidRPr="0089429E">
        <w:rPr>
          <w:b/>
          <w:color w:val="1A1A1A"/>
          <w:sz w:val="22"/>
        </w:rPr>
        <w:t>Métodos:</w:t>
      </w:r>
      <w:r w:rsidRPr="0089429E">
        <w:rPr>
          <w:color w:val="1A1A1A"/>
          <w:sz w:val="22"/>
        </w:rPr>
        <w:t xml:space="preserve"> Estudo retrospectivo observacional de pacientes com tumor hipofisário secretor de hormônio do crescimento que receberam tratamento medicamentoso por pelo menos seis meses com análogo da somatostatina e/ou agonista dopaminérgico no período de 2015 a 2025. Foram avaliadas variáveis demográficas, diâmetro tumoral e níveis hormonais. Os pacientes foram classificados como portadores de acromegalia ou somatotropinoma silencioso, e com presença ou ausência de co-secreção de prolactina. As variáveis contínuas foram descritas como média e desvio padrão, com comparação entre grupos por teste t de Student, e as variáveis categóricas por teste do qui-quadrado. </w:t>
      </w:r>
      <w:r w:rsidRPr="0089429E">
        <w:rPr>
          <w:b/>
          <w:color w:val="1A1A1A"/>
          <w:sz w:val="22"/>
        </w:rPr>
        <w:t>Resultados:</w:t>
      </w:r>
      <w:r w:rsidRPr="0089429E">
        <w:rPr>
          <w:color w:val="1A1A1A"/>
          <w:sz w:val="22"/>
        </w:rPr>
        <w:t xml:space="preserve"> Foram analisados 78 pacientes. </w:t>
      </w:r>
      <w:proofErr w:type="gramStart"/>
      <w:r w:rsidRPr="0089429E">
        <w:rPr>
          <w:color w:val="1A1A1A"/>
          <w:sz w:val="22"/>
        </w:rPr>
        <w:t>A</w:t>
      </w:r>
      <w:proofErr w:type="gramEnd"/>
      <w:r w:rsidRPr="0089429E">
        <w:rPr>
          <w:color w:val="1A1A1A"/>
          <w:sz w:val="22"/>
        </w:rPr>
        <w:t xml:space="preserve"> acromegalia esteve presente em 83% dos casos, enquanto tumores silenciosos corresponderam a 17%. Observou-se elevada frequência de co-secreção de prolactina, presente em aproximadamente 40% dos pacientes. Entre os tumores silenciosos (n=14, diâmetro tumoral médio 2,22±1,06 cm), cerca de 36% apresentaram co-secreção de prolactina. Não foram observadas associações significativas de presença ou ausência de co-secreção de prolactina em: diâmetro tumoral médio (1,76±1,17 versus 1,86±1,33 cm, p=0,74), níveis plasmáticos de GH (15,9±29,9 versus 11,9±19,2 mUI/L) ou de IGF-1 relativo ao limite superior da normalidade (206±143% versus 214±157%). </w:t>
      </w:r>
      <w:r w:rsidRPr="0089429E">
        <w:rPr>
          <w:b/>
          <w:color w:val="1A1A1A"/>
          <w:sz w:val="22"/>
        </w:rPr>
        <w:t>Conclusão</w:t>
      </w:r>
      <w:r w:rsidRPr="0089429E">
        <w:rPr>
          <w:color w:val="1A1A1A"/>
          <w:sz w:val="22"/>
        </w:rPr>
        <w:t xml:space="preserve">: Nesta série de pacientes tratados com terapia medicamentosa observou-se frequência relativamente alta de co-secreção de prolactina em tumores hipofisários secretores </w:t>
      </w:r>
      <w:r w:rsidRPr="0089429E">
        <w:rPr>
          <w:color w:val="1A1A1A"/>
          <w:sz w:val="22"/>
        </w:rPr>
        <w:lastRenderedPageBreak/>
        <w:t>de hormônio do crescimento. Essa característica não se associou a diferenças significativas nas variáveis clínicas e tumorais avaliadas. Tumores silenciosos representaram proporção relevante da casuística e apresentaram tendência a maior tamanho tumoral.</w:t>
      </w:r>
    </w:p>
    <w:p w:rsidR="000B5910" w:rsidRDefault="000B5910">
      <w:pPr>
        <w:pBdr>
          <w:bottom w:val="single" w:sz="4" w:space="2" w:color="808080"/>
        </w:pBdr>
        <w:spacing w:before="80" w:after="40"/>
      </w:pPr>
    </w:p>
    <w:p w:rsidR="000B5910" w:rsidRDefault="00057F5C">
      <w:pPr>
        <w:spacing w:after="0" w:line="252" w:lineRule="auto"/>
        <w:rPr>
          <w:sz w:val="16"/>
          <w:szCs w:val="16"/>
        </w:rPr>
      </w:pPr>
      <w:r>
        <w:rPr>
          <w:color w:val="595959"/>
          <w:sz w:val="16"/>
          <w:szCs w:val="16"/>
          <w:vertAlign w:val="superscript"/>
        </w:rPr>
        <w:t>1</w:t>
      </w:r>
      <w:r>
        <w:rPr>
          <w:color w:val="595959"/>
          <w:sz w:val="16"/>
          <w:szCs w:val="16"/>
        </w:rPr>
        <w:t xml:space="preserve"> Universidade Estadual de Londrina</w:t>
      </w:r>
    </w:p>
    <w:p w:rsidR="000B5910" w:rsidRDefault="000B5910">
      <w:pPr>
        <w:sectPr w:rsidR="000B5910">
          <w:headerReference w:type="default" r:id="rId187"/>
          <w:footerReference w:type="default" r:id="rId18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CAPACIDADE DIAGNÓSTICA DE PARÂMETROS BASAIS NA INSUFICIÊNCIA ADRENAL EM COMPARAÇÃO AO CORTISOL ESTIMULADO PELO TESTE DE TOLERÂNCIA À INSULINA</w:t>
      </w:r>
    </w:p>
    <w:p w:rsidR="000B5910" w:rsidRPr="0089429E" w:rsidRDefault="00057F5C">
      <w:pPr>
        <w:spacing w:after="40" w:line="252" w:lineRule="auto"/>
        <w:jc w:val="right"/>
        <w:rPr>
          <w:szCs w:val="21"/>
        </w:rPr>
      </w:pPr>
      <w:r w:rsidRPr="0089429E">
        <w:rPr>
          <w:color w:val="1A1A1A"/>
          <w:szCs w:val="21"/>
        </w:rPr>
        <w:t>Giulia Akemi Sakashita</w:t>
      </w:r>
      <w:r w:rsidRPr="0089429E">
        <w:rPr>
          <w:color w:val="1A1A1A"/>
          <w:szCs w:val="21"/>
          <w:vertAlign w:val="superscript"/>
        </w:rPr>
        <w:t>1</w:t>
      </w:r>
      <w:r w:rsidRPr="0089429E">
        <w:rPr>
          <w:szCs w:val="21"/>
        </w:rPr>
        <w:br/>
      </w:r>
      <w:r w:rsidRPr="0089429E">
        <w:rPr>
          <w:color w:val="1A1A1A"/>
          <w:szCs w:val="21"/>
        </w:rPr>
        <w:t>Ellen Silva Walter</w:t>
      </w:r>
      <w:r w:rsidRPr="0089429E">
        <w:rPr>
          <w:color w:val="1A1A1A"/>
          <w:szCs w:val="21"/>
          <w:vertAlign w:val="superscript"/>
        </w:rPr>
        <w:t>1</w:t>
      </w:r>
      <w:r w:rsidRPr="0089429E">
        <w:rPr>
          <w:szCs w:val="21"/>
        </w:rPr>
        <w:br/>
      </w:r>
      <w:r w:rsidRPr="0089429E">
        <w:rPr>
          <w:color w:val="1A1A1A"/>
          <w:szCs w:val="21"/>
        </w:rPr>
        <w:t>Geovana Balaben</w:t>
      </w:r>
      <w:r w:rsidRPr="0089429E">
        <w:rPr>
          <w:color w:val="1A1A1A"/>
          <w:szCs w:val="21"/>
          <w:vertAlign w:val="superscript"/>
        </w:rPr>
        <w:t>1</w:t>
      </w:r>
      <w:r w:rsidRPr="0089429E">
        <w:rPr>
          <w:szCs w:val="21"/>
        </w:rPr>
        <w:br/>
      </w:r>
      <w:r w:rsidRPr="0089429E">
        <w:rPr>
          <w:color w:val="1A1A1A"/>
          <w:szCs w:val="21"/>
        </w:rPr>
        <w:t>Maria Eduarda de Almeida Pereira</w:t>
      </w:r>
      <w:r w:rsidRPr="0089429E">
        <w:rPr>
          <w:color w:val="1A1A1A"/>
          <w:szCs w:val="21"/>
          <w:vertAlign w:val="superscript"/>
        </w:rPr>
        <w:t>1</w:t>
      </w:r>
      <w:r w:rsidRPr="0089429E">
        <w:rPr>
          <w:szCs w:val="21"/>
        </w:rPr>
        <w:br/>
      </w:r>
      <w:r w:rsidRPr="0089429E">
        <w:rPr>
          <w:color w:val="1A1A1A"/>
          <w:szCs w:val="21"/>
        </w:rPr>
        <w:t>Vitória Karoline Justino dos Santos</w:t>
      </w:r>
      <w:r w:rsidRPr="0089429E">
        <w:rPr>
          <w:color w:val="1A1A1A"/>
          <w:szCs w:val="21"/>
          <w:vertAlign w:val="superscript"/>
        </w:rPr>
        <w:t>1</w:t>
      </w:r>
      <w:r w:rsidRPr="0089429E">
        <w:rPr>
          <w:szCs w:val="21"/>
        </w:rPr>
        <w:br/>
      </w:r>
      <w:r w:rsidRPr="0089429E">
        <w:rPr>
          <w:color w:val="1A1A1A"/>
          <w:szCs w:val="21"/>
        </w:rPr>
        <w:t>Bruna Matarazzo</w:t>
      </w:r>
      <w:r w:rsidRPr="0089429E">
        <w:rPr>
          <w:color w:val="1A1A1A"/>
          <w:szCs w:val="21"/>
          <w:vertAlign w:val="superscript"/>
        </w:rPr>
        <w:t>1</w:t>
      </w:r>
      <w:r w:rsidRPr="0089429E">
        <w:rPr>
          <w:szCs w:val="21"/>
        </w:rPr>
        <w:br/>
      </w:r>
      <w:r w:rsidRPr="0089429E">
        <w:rPr>
          <w:color w:val="1A1A1A"/>
          <w:szCs w:val="21"/>
        </w:rPr>
        <w:t>Mariana Yoshii Tramontin</w:t>
      </w:r>
      <w:r w:rsidRPr="0089429E">
        <w:rPr>
          <w:color w:val="1A1A1A"/>
          <w:szCs w:val="21"/>
          <w:vertAlign w:val="superscript"/>
        </w:rPr>
        <w:t>1</w:t>
      </w:r>
      <w:r w:rsidRPr="0089429E">
        <w:rPr>
          <w:szCs w:val="21"/>
        </w:rPr>
        <w:br/>
      </w:r>
      <w:r w:rsidRPr="0089429E">
        <w:rPr>
          <w:color w:val="1A1A1A"/>
          <w:szCs w:val="21"/>
        </w:rPr>
        <w:t>Tânia Longo Mazzuco</w:t>
      </w:r>
      <w:r w:rsidRPr="0089429E">
        <w:rPr>
          <w:color w:val="1A1A1A"/>
          <w:szCs w:val="21"/>
          <w:vertAlign w:val="superscript"/>
        </w:rPr>
        <w:t>1</w:t>
      </w:r>
    </w:p>
    <w:p w:rsidR="000B5910" w:rsidRDefault="00057F5C">
      <w:pPr>
        <w:spacing w:before="200" w:after="100"/>
      </w:pPr>
      <w:r>
        <w:rPr>
          <w:b/>
          <w:color w:val="1A1A1A"/>
          <w:sz w:val="22"/>
          <w:szCs w:val="24"/>
        </w:rPr>
        <w:t>RESUMO</w:t>
      </w:r>
    </w:p>
    <w:p w:rsidR="000B5910" w:rsidRPr="0089429E" w:rsidRDefault="00057F5C">
      <w:pPr>
        <w:spacing w:after="80" w:line="264" w:lineRule="auto"/>
        <w:jc w:val="both"/>
        <w:rPr>
          <w:sz w:val="22"/>
        </w:rPr>
      </w:pPr>
      <w:r w:rsidRPr="0089429E">
        <w:rPr>
          <w:b/>
          <w:color w:val="1A1A1A"/>
          <w:sz w:val="22"/>
        </w:rPr>
        <w:t xml:space="preserve">Introdução: </w:t>
      </w:r>
      <w:r w:rsidRPr="0089429E">
        <w:rPr>
          <w:color w:val="1A1A1A"/>
          <w:sz w:val="22"/>
        </w:rPr>
        <w:t>A insuficiência adrenal (IA) caracteriza-se por baixos níveis de cortisol e pode manifestar-se por fadiga, perda de peso, náusea, hipotensão e hipoglicemia. A suspeição diagnóstica se confirma pelo cortisol plasmático basal (8h) ≤3 mcg/dL, sendo excluída quando &gt;18 mg/dL. Valores intermediários de cortisol (3-18 mcg/dL) indicam avaliação confirmatória, como o teste de tolerância à insulina (TTI), que apresenta risco de hipoglicemia severa, alto custo e contraindicações.</w:t>
      </w:r>
      <w:r w:rsidRPr="0089429E">
        <w:rPr>
          <w:b/>
          <w:color w:val="1A1A1A"/>
          <w:sz w:val="22"/>
        </w:rPr>
        <w:t xml:space="preserve"> Objetivos:</w:t>
      </w:r>
      <w:r w:rsidRPr="0089429E">
        <w:rPr>
          <w:color w:val="1A1A1A"/>
          <w:sz w:val="22"/>
        </w:rPr>
        <w:t xml:space="preserve"> analisar as dosagens basais de cortisol, glicose e ACTH em relação ao resultado do TTI, em busca de valores preditores de IA.</w:t>
      </w:r>
      <w:r w:rsidRPr="0089429E">
        <w:rPr>
          <w:b/>
          <w:color w:val="1A1A1A"/>
          <w:sz w:val="22"/>
        </w:rPr>
        <w:t xml:space="preserve"> Métodos:</w:t>
      </w:r>
      <w:r w:rsidRPr="0089429E">
        <w:rPr>
          <w:color w:val="1A1A1A"/>
          <w:sz w:val="22"/>
        </w:rPr>
        <w:t xml:space="preserve"> Estudo transversal, observacional, retrospectivo, com amostragem consecutiva de pacientes com dosagens basais e resultado de TTI disponíveis, sem restrição de idade e com diagnóstico final definido. A normalidade (teste de Shapiro-Wilk), a comparação de variáveis (qui-quadrado, teste T de Student, ANOVA, Fisher, Mann-Whitney e Kruskal-Wallis) e </w:t>
      </w:r>
      <w:proofErr w:type="gramStart"/>
      <w:r w:rsidRPr="0089429E">
        <w:rPr>
          <w:color w:val="1A1A1A"/>
          <w:sz w:val="22"/>
        </w:rPr>
        <w:t>a</w:t>
      </w:r>
      <w:proofErr w:type="gramEnd"/>
      <w:r w:rsidRPr="0089429E">
        <w:rPr>
          <w:color w:val="1A1A1A"/>
          <w:sz w:val="22"/>
        </w:rPr>
        <w:t xml:space="preserve"> acurácia diagnóstica (curvas ROC e AUC) foram analisadas nos programas Jamovi 2.3.21 e SPSS 25. O cortisol plasmático foi dosado pelo método de quimioluminescência (Architect-Abbott, valor de referência 3.7 a 19.4 mcg/dL).</w:t>
      </w:r>
      <w:r w:rsidRPr="0089429E">
        <w:rPr>
          <w:b/>
          <w:color w:val="1A1A1A"/>
          <w:sz w:val="22"/>
        </w:rPr>
        <w:t xml:space="preserve"> Resultados: </w:t>
      </w:r>
      <w:r w:rsidRPr="0089429E">
        <w:rPr>
          <w:color w:val="1A1A1A"/>
          <w:sz w:val="22"/>
        </w:rPr>
        <w:t xml:space="preserve">A análise de 55 TTIs demonstrou valor máximo de cortisol após estímulo de 14,7 mcg/dL [13,3-17,0] e delta de resposta máxima do cortisol em relação ao basal de 5,5 mcg/dL [1,9-8,2] no grupo com IA. O valor de glicose basal (92 [86-99] vs 105 [95-116] mg/dL; p=0,035) e o produto cortisol x glicose (839±332 vs.1064±253; p=0,036) foram menores no grupo com IA vs sem IA, respectivamente. </w:t>
      </w:r>
      <w:proofErr w:type="gramStart"/>
      <w:r w:rsidRPr="0089429E">
        <w:rPr>
          <w:color w:val="1A1A1A"/>
          <w:sz w:val="22"/>
        </w:rPr>
        <w:t>A</w:t>
      </w:r>
      <w:proofErr w:type="gramEnd"/>
      <w:r w:rsidRPr="0089429E">
        <w:rPr>
          <w:color w:val="1A1A1A"/>
          <w:sz w:val="22"/>
        </w:rPr>
        <w:t xml:space="preserve"> análise das curvas ROC das variáveis basais resultou em ponto de corte de cortisol basal de 13,9 mcg/dL com especificidade de 100% e sensibilidade de 6%, sendo útil para confirmação diagnóstica em casos de alta probabilidade pré-teste. Na análise por subgrupos (IA primária vs. secundária), o cortisol máximo após estímulo e o delta de cortisol mantiveram diferenças significativas no grupo com IA vs. sem IA (p = 0,017 e 0,049, respectivamente). Entre as variáveis combinadas, a razão cortisol/glicose (AUC=0,717; p=0,003) e o produto cortisol x ACTH (AUC=0,645; p=0,048) apresentaram melhor desempenho. </w:t>
      </w:r>
      <w:r w:rsidRPr="0089429E">
        <w:rPr>
          <w:b/>
          <w:color w:val="1A1A1A"/>
          <w:sz w:val="22"/>
        </w:rPr>
        <w:t xml:space="preserve">Conclusão: </w:t>
      </w:r>
      <w:r w:rsidRPr="0089429E">
        <w:rPr>
          <w:color w:val="1A1A1A"/>
          <w:sz w:val="22"/>
        </w:rPr>
        <w:t>Valores de cortisol iguais ou menores que 13,9 mcg/dL apresentam alta especificidade para diagnosticar pacientes com quadro clínico sugestivo de IA, na nossa casuística. Além disso, destaca-se o potencial do produto cortisol x glicose como ferramenta preditiva do diagnóstico.</w:t>
      </w:r>
    </w:p>
    <w:p w:rsidR="000B5910" w:rsidRDefault="000B5910">
      <w:pPr>
        <w:pBdr>
          <w:bottom w:val="single" w:sz="4" w:space="2" w:color="808080"/>
        </w:pBdr>
        <w:spacing w:before="12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Universidade Estadual de Londrina, Centro de Ciências da Saúde. Londrina, Brasil</w:t>
      </w:r>
    </w:p>
    <w:p w:rsidR="000B5910" w:rsidRDefault="000B5910">
      <w:pPr>
        <w:sectPr w:rsidR="000B5910">
          <w:headerReference w:type="default" r:id="rId189"/>
          <w:footerReference w:type="default" r:id="rId19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PRESERVAÇÃO DA FERTILIDADE EM PACIENTE COM ACROMEGALIA POR MACROADENOMA HIPOFISÁRIO SECRETOR DE GH E PROLACTINA: RELATO DE CASO</w:t>
      </w:r>
    </w:p>
    <w:p w:rsidR="000B5910" w:rsidRPr="0089429E" w:rsidRDefault="00057F5C">
      <w:pPr>
        <w:spacing w:after="40" w:line="252" w:lineRule="auto"/>
        <w:jc w:val="right"/>
        <w:rPr>
          <w:szCs w:val="21"/>
        </w:rPr>
      </w:pPr>
      <w:r w:rsidRPr="0089429E">
        <w:rPr>
          <w:color w:val="1A1A1A"/>
          <w:szCs w:val="21"/>
        </w:rPr>
        <w:t>Bruna Muraro Vanassi</w:t>
      </w:r>
      <w:r w:rsidRPr="0089429E">
        <w:rPr>
          <w:color w:val="1A1A1A"/>
          <w:szCs w:val="21"/>
          <w:vertAlign w:val="superscript"/>
        </w:rPr>
        <w:t>1</w:t>
      </w:r>
      <w:r w:rsidRPr="0089429E">
        <w:rPr>
          <w:szCs w:val="21"/>
        </w:rPr>
        <w:br/>
      </w:r>
      <w:r w:rsidRPr="0089429E">
        <w:rPr>
          <w:color w:val="1A1A1A"/>
          <w:szCs w:val="21"/>
        </w:rPr>
        <w:t>Natália Furlan</w:t>
      </w:r>
      <w:r w:rsidRPr="0089429E">
        <w:rPr>
          <w:color w:val="1A1A1A"/>
          <w:szCs w:val="21"/>
          <w:vertAlign w:val="superscript"/>
        </w:rPr>
        <w:t>2</w:t>
      </w:r>
      <w:r w:rsidRPr="0089429E">
        <w:rPr>
          <w:szCs w:val="21"/>
        </w:rPr>
        <w:br/>
      </w:r>
      <w:r w:rsidRPr="0089429E">
        <w:rPr>
          <w:color w:val="1A1A1A"/>
          <w:szCs w:val="21"/>
        </w:rPr>
        <w:t>Paulo Henrique Gonzales</w:t>
      </w:r>
      <w:r w:rsidRPr="0089429E">
        <w:rPr>
          <w:color w:val="1A1A1A"/>
          <w:szCs w:val="21"/>
          <w:vertAlign w:val="superscript"/>
        </w:rPr>
        <w:t>1</w:t>
      </w:r>
      <w:r w:rsidRPr="0089429E">
        <w:rPr>
          <w:szCs w:val="21"/>
        </w:rPr>
        <w:br/>
      </w:r>
      <w:r w:rsidRPr="0089429E">
        <w:rPr>
          <w:color w:val="1A1A1A"/>
          <w:szCs w:val="21"/>
        </w:rPr>
        <w:t>Carolina Odorizzi Magno Nunes</w:t>
      </w:r>
      <w:r w:rsidRPr="0089429E">
        <w:rPr>
          <w:color w:val="1A1A1A"/>
          <w:szCs w:val="21"/>
          <w:vertAlign w:val="superscript"/>
        </w:rPr>
        <w:t>1</w:t>
      </w:r>
      <w:r w:rsidRPr="0089429E">
        <w:rPr>
          <w:szCs w:val="21"/>
        </w:rPr>
        <w:br/>
      </w:r>
      <w:r w:rsidRPr="0089429E">
        <w:rPr>
          <w:color w:val="1A1A1A"/>
          <w:szCs w:val="21"/>
        </w:rPr>
        <w:t>Amanda Halfen Leal</w:t>
      </w:r>
      <w:r w:rsidRPr="0089429E">
        <w:rPr>
          <w:color w:val="1A1A1A"/>
          <w:szCs w:val="21"/>
          <w:vertAlign w:val="superscript"/>
        </w:rPr>
        <w:t>1</w:t>
      </w:r>
      <w:r w:rsidRPr="0089429E">
        <w:rPr>
          <w:szCs w:val="21"/>
        </w:rPr>
        <w:br/>
      </w:r>
      <w:r w:rsidRPr="0089429E">
        <w:rPr>
          <w:color w:val="1A1A1A"/>
          <w:szCs w:val="21"/>
        </w:rPr>
        <w:t>Caroline Matsui Freitas</w:t>
      </w:r>
      <w:r w:rsidRPr="0089429E">
        <w:rPr>
          <w:color w:val="1A1A1A"/>
          <w:szCs w:val="21"/>
          <w:vertAlign w:val="superscript"/>
        </w:rPr>
        <w:t>1</w:t>
      </w:r>
    </w:p>
    <w:p w:rsidR="000B5910" w:rsidRDefault="00057F5C">
      <w:pPr>
        <w:spacing w:before="200" w:after="100"/>
      </w:pPr>
      <w:r>
        <w:rPr>
          <w:b/>
          <w:color w:val="1A1A1A"/>
          <w:sz w:val="22"/>
          <w:szCs w:val="24"/>
        </w:rPr>
        <w:t>RESUMO</w:t>
      </w:r>
    </w:p>
    <w:p w:rsidR="000B5910" w:rsidRPr="0089429E" w:rsidRDefault="00057F5C">
      <w:pPr>
        <w:spacing w:after="80" w:line="264" w:lineRule="auto"/>
        <w:jc w:val="both"/>
        <w:rPr>
          <w:sz w:val="22"/>
        </w:rPr>
      </w:pPr>
      <w:r w:rsidRPr="0089429E">
        <w:rPr>
          <w:b/>
          <w:color w:val="1A1A1A"/>
          <w:sz w:val="22"/>
        </w:rPr>
        <w:t>Apresentação do Caso:</w:t>
      </w:r>
      <w:r w:rsidRPr="0089429E">
        <w:rPr>
          <w:color w:val="1A1A1A"/>
          <w:sz w:val="22"/>
        </w:rPr>
        <w:t xml:space="preserve"> Relata-se o caso de paciente feminina, 30 anos, com aumento do tamanho de anéis e calçados, amenorreia, hiperidrose, galactorreia, espessamento cutâneo e redução da acuidade visual. Apresentava prolactina de 66,5 ng/mL, IGF-1 965 ng/mL (VR 117–329) e GH 54,5 ng/mL (&lt;3,6). A ressonância magnética de hipófise evidenciou macroadenoma hipofisário (3,4 × 2,9 × 2,2 cm) com deslocamento superior do quiasma óptico. Iniciou cabergolina (0,75 mg/semana) e foi submetida à cirurgia transesfenoidal. O anatomopatológico confirmou adenoma hipofisário com imunohistoquímica positiva para GH e prolactina, Ki-67 de aproximadamente 0,3%. Evoluiu no pós-operatório com hipotireoidismo central. Ressonância magnética atual evidencia lesão residual (2,2 × 1,6 × 1,6 cm) com extensão para o seio cavernoso direito, sem compressão quiasmática. Apresenta cortisol basal de 14,8 mcg/dL, T4 livre 1,2 ng/dL, prolactina 30,5 ng/mL, IGF-1 347 ng/mL (VR 76–277), FSH 5,1 mUI/mL e LH 3,0 mUI/mL. Encontra-se em uso de octreotida LAR 30 mg a cada 28 dias, pegvisomanto 10 mg/dia e levotiroxina 125 mcg/dia. Apesar da doença residual, manteve função gonadal preservada, evoluindo com duas gestações espontâneas aos 34 e 38 anos, ambas sem intercorrências materno-fetais. </w:t>
      </w:r>
      <w:r w:rsidRPr="0089429E">
        <w:rPr>
          <w:b/>
          <w:color w:val="1A1A1A"/>
          <w:sz w:val="22"/>
        </w:rPr>
        <w:t>Discussão:</w:t>
      </w:r>
      <w:r w:rsidRPr="0089429E">
        <w:rPr>
          <w:color w:val="1A1A1A"/>
          <w:sz w:val="22"/>
        </w:rPr>
        <w:t xml:space="preserve"> A disfunção gonadal é comum na acromegalia, ocorrendo em até 70% das mulheres em idade reprodutiva. </w:t>
      </w:r>
      <w:proofErr w:type="gramStart"/>
      <w:r w:rsidRPr="0089429E">
        <w:rPr>
          <w:color w:val="1A1A1A"/>
          <w:sz w:val="22"/>
        </w:rPr>
        <w:t>A</w:t>
      </w:r>
      <w:proofErr w:type="gramEnd"/>
      <w:r w:rsidRPr="0089429E">
        <w:rPr>
          <w:color w:val="1A1A1A"/>
          <w:sz w:val="22"/>
        </w:rPr>
        <w:t xml:space="preserve"> infertilidade feminina é descrita em aproximadamente 37% dos casos, enquanto a gestação espontânea durante doença ativa é rara, ocorrendo em menos de 10% das pacientes. No presente caso, apesar da presença de macroadenoma misto GH/PRL e de doença residual após cirurgia, houve preservação da função gonadal e ocorrência de duas gestações espontâneas. </w:t>
      </w:r>
      <w:proofErr w:type="gramStart"/>
      <w:r w:rsidRPr="0089429E">
        <w:rPr>
          <w:color w:val="1A1A1A"/>
          <w:sz w:val="22"/>
        </w:rPr>
        <w:t>A</w:t>
      </w:r>
      <w:proofErr w:type="gramEnd"/>
      <w:r w:rsidRPr="0089429E">
        <w:rPr>
          <w:color w:val="1A1A1A"/>
          <w:sz w:val="22"/>
        </w:rPr>
        <w:t xml:space="preserve"> ausência de pan-hipopituitarismo e a manutenção relativa do eixo gonadotrófico provavelmente foram determinantes para a fertilidade preservada. Este caso reforça a heterogeneidade da acromegalia e a possibilidade de preservação da fertilidade mesmo em cenários considerados de maior risco. </w:t>
      </w:r>
      <w:r w:rsidRPr="0089429E">
        <w:rPr>
          <w:b/>
          <w:color w:val="1A1A1A"/>
          <w:sz w:val="22"/>
        </w:rPr>
        <w:t>Considerações finais:</w:t>
      </w:r>
      <w:r w:rsidRPr="0089429E">
        <w:rPr>
          <w:color w:val="1A1A1A"/>
          <w:sz w:val="22"/>
        </w:rPr>
        <w:t xml:space="preserve"> Embora a infertilidade seja frequente na acromegalia, a gestação espontânea pode ocorrer, mesmo na presença de doença ativa ou residual. O caso destaca </w:t>
      </w:r>
      <w:proofErr w:type="gramStart"/>
      <w:r w:rsidRPr="0089429E">
        <w:rPr>
          <w:color w:val="1A1A1A"/>
          <w:sz w:val="22"/>
        </w:rPr>
        <w:t>a</w:t>
      </w:r>
      <w:proofErr w:type="gramEnd"/>
      <w:r w:rsidRPr="0089429E">
        <w:rPr>
          <w:color w:val="1A1A1A"/>
          <w:sz w:val="22"/>
        </w:rPr>
        <w:t xml:space="preserve"> importância da avaliação individualizada do eixo gonadal, do aconselhamento reprodutivo precoce em mulheres com acromegalia em idade fértil. Além disso, ressalta a necessidade de orientação quanto à possibilidade de gestação, mesmo quando a fertilidade é considerada reduzida.</w:t>
      </w:r>
      <w:r w:rsidR="0089429E">
        <w:rPr>
          <w:color w:val="1A1A1A"/>
          <w:sz w:val="22"/>
        </w:rPr>
        <w:t xml:space="preserve"> </w:t>
      </w:r>
      <w:r w:rsidRPr="0089429E">
        <w:rPr>
          <w:b/>
          <w:color w:val="1A1A1A"/>
          <w:sz w:val="22"/>
        </w:rPr>
        <w:t>ENDOCRINOLOGIA PEDIÁTRICA</w:t>
      </w:r>
    </w:p>
    <w:p w:rsidR="000B5910" w:rsidRDefault="000B5910">
      <w:pPr>
        <w:pBdr>
          <w:bottom w:val="single" w:sz="4" w:space="2" w:color="808080"/>
        </w:pBdr>
        <w:spacing w:before="12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Universidade Federal de Pelotas</w:t>
      </w:r>
    </w:p>
    <w:p w:rsidR="000B5910" w:rsidRPr="0089429E" w:rsidRDefault="00057F5C">
      <w:pPr>
        <w:spacing w:after="0" w:line="252" w:lineRule="auto"/>
        <w:rPr>
          <w:sz w:val="16"/>
          <w:szCs w:val="16"/>
        </w:rPr>
      </w:pPr>
      <w:r w:rsidRPr="0089429E">
        <w:rPr>
          <w:color w:val="595959"/>
          <w:sz w:val="16"/>
          <w:szCs w:val="16"/>
          <w:vertAlign w:val="superscript"/>
        </w:rPr>
        <w:t>2</w:t>
      </w:r>
      <w:r w:rsidRPr="0089429E">
        <w:rPr>
          <w:color w:val="595959"/>
          <w:sz w:val="16"/>
          <w:szCs w:val="16"/>
        </w:rPr>
        <w:t xml:space="preserve"> Universidade de Caxias do Sul</w:t>
      </w:r>
    </w:p>
    <w:p w:rsidR="000B5910" w:rsidRDefault="000B5910">
      <w:pPr>
        <w:sectPr w:rsidR="000B5910">
          <w:headerReference w:type="default" r:id="rId191"/>
          <w:footerReference w:type="default" r:id="rId19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ADMINISTRAÇÃO ORAL E INTRANASAL DE INSULINA COMO IMUNOTERAPIA EM CRIANÇAS COM AUTOANTICORPOS POSITIVOS NA FASE PRÉ-CLÍNICA DO DIABETES MELLITUS TIPO 1: REVISÃO SISTEMÁTICA E META-ANÁLISE</w:t>
      </w:r>
    </w:p>
    <w:p w:rsidR="000B5910" w:rsidRPr="0089429E" w:rsidRDefault="00057F5C">
      <w:pPr>
        <w:spacing w:after="40" w:line="252" w:lineRule="auto"/>
        <w:jc w:val="right"/>
        <w:rPr>
          <w:szCs w:val="21"/>
        </w:rPr>
      </w:pPr>
      <w:r w:rsidRPr="0089429E">
        <w:rPr>
          <w:color w:val="1A1A1A"/>
          <w:szCs w:val="21"/>
        </w:rPr>
        <w:t>Isabela Remor Olivo de Souza</w:t>
      </w:r>
      <w:r w:rsidRPr="0089429E">
        <w:rPr>
          <w:color w:val="1A1A1A"/>
          <w:szCs w:val="21"/>
          <w:vertAlign w:val="superscript"/>
        </w:rPr>
        <w:t>1</w:t>
      </w:r>
    </w:p>
    <w:p w:rsidR="000B5910" w:rsidRPr="0089429E" w:rsidRDefault="00057F5C">
      <w:pPr>
        <w:spacing w:before="240" w:after="100"/>
        <w:rPr>
          <w:sz w:val="22"/>
        </w:rPr>
      </w:pPr>
      <w:r w:rsidRPr="0089429E">
        <w:rPr>
          <w:b/>
          <w:color w:val="1A1A1A"/>
          <w:sz w:val="22"/>
        </w:rPr>
        <w:t>RESUMO</w:t>
      </w:r>
    </w:p>
    <w:p w:rsidR="000B5910" w:rsidRPr="0089429E" w:rsidRDefault="00057F5C">
      <w:pPr>
        <w:spacing w:after="80"/>
        <w:jc w:val="both"/>
        <w:rPr>
          <w:sz w:val="22"/>
        </w:rPr>
      </w:pPr>
      <w:r w:rsidRPr="0089429E">
        <w:rPr>
          <w:b/>
          <w:color w:val="1A1A1A"/>
          <w:sz w:val="22"/>
        </w:rPr>
        <w:t xml:space="preserve">Introdução: </w:t>
      </w:r>
      <w:r w:rsidRPr="0089429E">
        <w:rPr>
          <w:color w:val="1A1A1A"/>
          <w:sz w:val="22"/>
        </w:rPr>
        <w:t xml:space="preserve">A diabetes mellitus tipo 1 (DM1) é uma doença autoimune que ataca antígenos de ilhotas pancreáticas, comprometendo a produção de insulina. Crescentes evidências apontam </w:t>
      </w:r>
      <w:proofErr w:type="gramStart"/>
      <w:r w:rsidRPr="0089429E">
        <w:rPr>
          <w:color w:val="1A1A1A"/>
          <w:sz w:val="22"/>
        </w:rPr>
        <w:t>a</w:t>
      </w:r>
      <w:proofErr w:type="gramEnd"/>
      <w:r w:rsidRPr="0089429E">
        <w:rPr>
          <w:color w:val="1A1A1A"/>
          <w:sz w:val="22"/>
        </w:rPr>
        <w:t xml:space="preserve"> administração oral de insulina como benéfica ao atingir tolerância imunológica e potencial de prevenção. </w:t>
      </w:r>
      <w:r w:rsidRPr="0089429E">
        <w:rPr>
          <w:b/>
          <w:color w:val="1A1A1A"/>
          <w:sz w:val="22"/>
        </w:rPr>
        <w:t xml:space="preserve">Objetivo: </w:t>
      </w:r>
      <w:r w:rsidRPr="0089429E">
        <w:rPr>
          <w:color w:val="1A1A1A"/>
          <w:sz w:val="22"/>
        </w:rPr>
        <w:t xml:space="preserve">O objetivo do estudo é avaliar o desempenho de doses diárias de insulina oral (IO) e intranasal em pacientes com risco genético elevado de DM1 na prevenção do desenvolvimento de autoanticorpos de ilhotas e diabetes. </w:t>
      </w:r>
      <w:r w:rsidRPr="0089429E">
        <w:rPr>
          <w:b/>
          <w:color w:val="1A1A1A"/>
          <w:sz w:val="22"/>
        </w:rPr>
        <w:t xml:space="preserve">Métodos: </w:t>
      </w:r>
      <w:r w:rsidRPr="0089429E">
        <w:rPr>
          <w:color w:val="1A1A1A"/>
          <w:sz w:val="22"/>
        </w:rPr>
        <w:t xml:space="preserve">Foram avaliados 3 ensaios clínicos randomizados (ECR) realizados com crianças com autoanticorpos positivos em fase pré-clínica de diabetes mellitus tipo 1. Foi administrada insulina diariamente, em doses progressivas, por via oral ou intranasal comparada com placebo em crianças entre 4 meses a 3 anos, sendo o período de acompanhamento variado entre 12 meses até 7 anos, incluindo avaliações clínicas e laboratoriais periódicas. </w:t>
      </w:r>
      <w:r w:rsidRPr="0089429E">
        <w:rPr>
          <w:b/>
          <w:color w:val="1A1A1A"/>
          <w:sz w:val="22"/>
        </w:rPr>
        <w:t xml:space="preserve">Resultados: </w:t>
      </w:r>
      <w:r w:rsidRPr="0089429E">
        <w:rPr>
          <w:color w:val="1A1A1A"/>
          <w:sz w:val="22"/>
        </w:rPr>
        <w:t xml:space="preserve">A análise dos ECR aponta resultados consistentes entre os estudos. No TrialNet Oral Insulin Trial </w:t>
      </w:r>
      <w:proofErr w:type="gramStart"/>
      <w:r w:rsidRPr="0089429E">
        <w:rPr>
          <w:color w:val="1A1A1A"/>
          <w:sz w:val="22"/>
        </w:rPr>
        <w:t>a</w:t>
      </w:r>
      <w:proofErr w:type="gramEnd"/>
      <w:r w:rsidRPr="0089429E">
        <w:rPr>
          <w:color w:val="1A1A1A"/>
          <w:sz w:val="22"/>
        </w:rPr>
        <w:t xml:space="preserve"> incidência da doença não teve grande divergência entre os grupos insulina e placebo (HR: 0,87). No estudo multicêntrico POInT </w:t>
      </w:r>
      <w:proofErr w:type="gramStart"/>
      <w:r w:rsidRPr="0089429E">
        <w:rPr>
          <w:color w:val="1A1A1A"/>
          <w:sz w:val="22"/>
        </w:rPr>
        <w:t>a</w:t>
      </w:r>
      <w:proofErr w:type="gramEnd"/>
      <w:r w:rsidRPr="0089429E">
        <w:rPr>
          <w:color w:val="1A1A1A"/>
          <w:sz w:val="22"/>
        </w:rPr>
        <w:t xml:space="preserve"> administração de insulina oral não demonstra redução na incidência de anticorpos ou diabetes (HR: 1,12 IC 95%: 0,76–1,67). No último estudo avaliado, com administração de insulina intranasal, também não são obtidos resultados favoráveis na redução do risco de DM1 (HR: 0,98 IC 95%: 0,67–1,43). A combinação entre os 3 ensaios clínicos randomizados aponta ausência de benefício significativo na prevenção da diabetes mellitus tipo 1 através da imunoterapia com insulina (HR: 0,97 IC 95%: 0,79–1,20). </w:t>
      </w:r>
      <w:proofErr w:type="gramStart"/>
      <w:r w:rsidRPr="0089429E">
        <w:rPr>
          <w:color w:val="1A1A1A"/>
          <w:sz w:val="22"/>
        </w:rPr>
        <w:t>A</w:t>
      </w:r>
      <w:proofErr w:type="gramEnd"/>
      <w:r w:rsidRPr="0089429E">
        <w:rPr>
          <w:color w:val="1A1A1A"/>
          <w:sz w:val="22"/>
        </w:rPr>
        <w:t xml:space="preserve"> administração profilática de insulina em crianças com risco elevado de DM1, apesar de perfil de segurança favorável, não apresenta redução significativa na incidência de autoimunidade de células β ou desenvolvimento de diabetes tipo 1. </w:t>
      </w:r>
      <w:r w:rsidRPr="0089429E">
        <w:rPr>
          <w:b/>
          <w:color w:val="1A1A1A"/>
          <w:sz w:val="22"/>
        </w:rPr>
        <w:t xml:space="preserve">Conclusão: </w:t>
      </w:r>
      <w:r w:rsidRPr="0089429E">
        <w:rPr>
          <w:color w:val="1A1A1A"/>
          <w:sz w:val="22"/>
        </w:rPr>
        <w:t xml:space="preserve">As evidências atuais ainda são insuficientes para adotar </w:t>
      </w:r>
      <w:proofErr w:type="gramStart"/>
      <w:r w:rsidRPr="0089429E">
        <w:rPr>
          <w:color w:val="1A1A1A"/>
          <w:sz w:val="22"/>
        </w:rPr>
        <w:t>a</w:t>
      </w:r>
      <w:proofErr w:type="gramEnd"/>
      <w:r w:rsidRPr="0089429E">
        <w:rPr>
          <w:color w:val="1A1A1A"/>
          <w:sz w:val="22"/>
        </w:rPr>
        <w:t xml:space="preserve"> insulina como estratégia preventiva; por isso, novos estudos, com maior poder estatístico são necessários para esclarecer o papel da imunoterapia como prevenção.</w:t>
      </w:r>
    </w:p>
    <w:p w:rsidR="000B5910" w:rsidRDefault="000B5910">
      <w:pPr>
        <w:pBdr>
          <w:bottom w:val="single" w:sz="4" w:space="2" w:color="808080"/>
        </w:pBdr>
        <w:spacing w:before="16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Universidade Feevale</w:t>
      </w:r>
    </w:p>
    <w:p w:rsidR="000B5910" w:rsidRDefault="000B5910">
      <w:pPr>
        <w:sectPr w:rsidR="000B5910">
          <w:headerReference w:type="default" r:id="rId193"/>
          <w:footerReference w:type="default" r:id="rId19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MANEJO DE CETOACIDOSE GRAVE EM AMBIENTE DE URGÊNCIA DO INTERIOR SEM UTI PEDIÁTRICA: UM RELATO DE CASO</w:t>
      </w:r>
    </w:p>
    <w:p w:rsidR="000B5910" w:rsidRPr="0089429E" w:rsidRDefault="00057F5C">
      <w:pPr>
        <w:spacing w:after="40" w:line="252" w:lineRule="auto"/>
        <w:jc w:val="right"/>
        <w:rPr>
          <w:szCs w:val="21"/>
        </w:rPr>
      </w:pPr>
      <w:r w:rsidRPr="0089429E">
        <w:rPr>
          <w:color w:val="1A1A1A"/>
          <w:szCs w:val="21"/>
        </w:rPr>
        <w:t>Raquel Ottoni</w:t>
      </w:r>
      <w:r w:rsidRPr="0089429E">
        <w:rPr>
          <w:color w:val="1A1A1A"/>
          <w:szCs w:val="21"/>
          <w:vertAlign w:val="superscript"/>
        </w:rPr>
        <w:t>1</w:t>
      </w:r>
      <w:r w:rsidRPr="0089429E">
        <w:rPr>
          <w:szCs w:val="21"/>
        </w:rPr>
        <w:br/>
      </w:r>
      <w:r w:rsidRPr="0089429E">
        <w:rPr>
          <w:color w:val="1A1A1A"/>
          <w:szCs w:val="21"/>
        </w:rPr>
        <w:t>Maíra Lucília Monteiro Ferreira</w:t>
      </w:r>
      <w:r w:rsidRPr="0089429E">
        <w:rPr>
          <w:color w:val="1A1A1A"/>
          <w:szCs w:val="21"/>
          <w:vertAlign w:val="superscript"/>
        </w:rPr>
        <w:t>1</w:t>
      </w:r>
      <w:r w:rsidRPr="0089429E">
        <w:rPr>
          <w:szCs w:val="21"/>
        </w:rPr>
        <w:br/>
      </w:r>
      <w:r w:rsidRPr="0089429E">
        <w:rPr>
          <w:color w:val="1A1A1A"/>
          <w:szCs w:val="21"/>
        </w:rPr>
        <w:t>Eduarda de Souza Pitamiglio</w:t>
      </w:r>
      <w:r w:rsidRPr="0089429E">
        <w:rPr>
          <w:color w:val="1A1A1A"/>
          <w:szCs w:val="21"/>
          <w:vertAlign w:val="superscript"/>
        </w:rPr>
        <w:t>1</w:t>
      </w:r>
      <w:r w:rsidRPr="0089429E">
        <w:rPr>
          <w:szCs w:val="21"/>
        </w:rPr>
        <w:br/>
      </w:r>
      <w:r w:rsidRPr="0089429E">
        <w:rPr>
          <w:color w:val="1A1A1A"/>
          <w:szCs w:val="21"/>
        </w:rPr>
        <w:t>Kemillin Dyulian Garcia</w:t>
      </w:r>
      <w:r w:rsidRPr="0089429E">
        <w:rPr>
          <w:color w:val="1A1A1A"/>
          <w:szCs w:val="21"/>
          <w:vertAlign w:val="superscript"/>
        </w:rPr>
        <w:t>1</w:t>
      </w:r>
      <w:r w:rsidRPr="0089429E">
        <w:rPr>
          <w:szCs w:val="21"/>
        </w:rPr>
        <w:br/>
      </w:r>
      <w:r w:rsidRPr="0089429E">
        <w:rPr>
          <w:color w:val="1A1A1A"/>
          <w:szCs w:val="21"/>
        </w:rPr>
        <w:t>Bianca Larruscaim Biasuz</w:t>
      </w:r>
      <w:r w:rsidRPr="0089429E">
        <w:rPr>
          <w:color w:val="1A1A1A"/>
          <w:szCs w:val="21"/>
          <w:vertAlign w:val="superscript"/>
        </w:rPr>
        <w:t>1</w:t>
      </w:r>
      <w:r w:rsidRPr="0089429E">
        <w:rPr>
          <w:szCs w:val="21"/>
        </w:rPr>
        <w:br/>
      </w:r>
      <w:r w:rsidRPr="0089429E">
        <w:rPr>
          <w:color w:val="1A1A1A"/>
          <w:szCs w:val="21"/>
        </w:rPr>
        <w:t>Tarsila Beretta da Silva</w:t>
      </w:r>
      <w:r w:rsidRPr="0089429E">
        <w:rPr>
          <w:color w:val="1A1A1A"/>
          <w:szCs w:val="21"/>
          <w:vertAlign w:val="superscript"/>
        </w:rPr>
        <w:t>1</w:t>
      </w:r>
      <w:r w:rsidRPr="0089429E">
        <w:rPr>
          <w:szCs w:val="21"/>
        </w:rPr>
        <w:br/>
      </w:r>
      <w:r w:rsidRPr="0089429E">
        <w:rPr>
          <w:color w:val="1A1A1A"/>
          <w:szCs w:val="21"/>
        </w:rPr>
        <w:t>Milene Gonçalves Conte</w:t>
      </w:r>
      <w:r w:rsidRPr="0089429E">
        <w:rPr>
          <w:color w:val="1A1A1A"/>
          <w:szCs w:val="21"/>
          <w:vertAlign w:val="superscript"/>
        </w:rPr>
        <w:t>1</w:t>
      </w:r>
      <w:r w:rsidRPr="0089429E">
        <w:rPr>
          <w:szCs w:val="21"/>
        </w:rPr>
        <w:br/>
      </w:r>
      <w:r w:rsidRPr="0089429E">
        <w:rPr>
          <w:color w:val="1A1A1A"/>
          <w:szCs w:val="21"/>
        </w:rPr>
        <w:t>Julia Schmidt Oscar</w:t>
      </w:r>
      <w:r w:rsidRPr="0089429E">
        <w:rPr>
          <w:color w:val="1A1A1A"/>
          <w:szCs w:val="21"/>
          <w:vertAlign w:val="superscript"/>
        </w:rPr>
        <w:t>1</w:t>
      </w:r>
      <w:r w:rsidRPr="0089429E">
        <w:rPr>
          <w:szCs w:val="21"/>
        </w:rPr>
        <w:br/>
      </w:r>
      <w:r w:rsidRPr="0089429E">
        <w:rPr>
          <w:color w:val="1A1A1A"/>
          <w:szCs w:val="21"/>
        </w:rPr>
        <w:t>Ester Alves Fernandes</w:t>
      </w:r>
      <w:r w:rsidRPr="0089429E">
        <w:rPr>
          <w:color w:val="1A1A1A"/>
          <w:szCs w:val="21"/>
          <w:vertAlign w:val="superscript"/>
        </w:rPr>
        <w:t>1</w:t>
      </w:r>
      <w:r w:rsidRPr="0089429E">
        <w:rPr>
          <w:szCs w:val="21"/>
        </w:rPr>
        <w:br/>
      </w:r>
      <w:r w:rsidRPr="0089429E">
        <w:rPr>
          <w:color w:val="1A1A1A"/>
          <w:szCs w:val="21"/>
        </w:rPr>
        <w:t>Lara Carolina Duarte Orça</w:t>
      </w:r>
      <w:r w:rsidRPr="0089429E">
        <w:rPr>
          <w:color w:val="1A1A1A"/>
          <w:szCs w:val="21"/>
          <w:vertAlign w:val="superscript"/>
        </w:rPr>
        <w:t>1</w:t>
      </w:r>
      <w:r w:rsidRPr="0089429E">
        <w:rPr>
          <w:szCs w:val="21"/>
        </w:rPr>
        <w:br/>
      </w:r>
      <w:r w:rsidRPr="0089429E">
        <w:rPr>
          <w:color w:val="1A1A1A"/>
          <w:szCs w:val="21"/>
        </w:rPr>
        <w:t>Caroline Laimer Davesac</w:t>
      </w:r>
      <w:r w:rsidRPr="0089429E">
        <w:rPr>
          <w:color w:val="1A1A1A"/>
          <w:szCs w:val="21"/>
          <w:vertAlign w:val="superscript"/>
        </w:rPr>
        <w:t>1</w:t>
      </w:r>
      <w:r w:rsidRPr="0089429E">
        <w:rPr>
          <w:szCs w:val="21"/>
        </w:rPr>
        <w:br/>
      </w:r>
      <w:r w:rsidRPr="0089429E">
        <w:rPr>
          <w:color w:val="1A1A1A"/>
          <w:szCs w:val="21"/>
        </w:rPr>
        <w:t>Germana Victórya Martins Borelli</w:t>
      </w:r>
      <w:r w:rsidRPr="0089429E">
        <w:rPr>
          <w:color w:val="1A1A1A"/>
          <w:szCs w:val="21"/>
          <w:vertAlign w:val="superscript"/>
        </w:rPr>
        <w:t>1</w:t>
      </w:r>
    </w:p>
    <w:p w:rsidR="000B5910" w:rsidRDefault="00057F5C">
      <w:pPr>
        <w:spacing w:before="200" w:after="100"/>
      </w:pPr>
      <w:r>
        <w:rPr>
          <w:b/>
          <w:color w:val="1A1A1A"/>
          <w:sz w:val="22"/>
          <w:szCs w:val="24"/>
        </w:rPr>
        <w:t>RESUMO</w:t>
      </w:r>
    </w:p>
    <w:p w:rsidR="000B5910" w:rsidRPr="0089429E" w:rsidRDefault="00057F5C">
      <w:pPr>
        <w:spacing w:after="80" w:line="264" w:lineRule="auto"/>
        <w:jc w:val="both"/>
        <w:rPr>
          <w:sz w:val="22"/>
        </w:rPr>
      </w:pPr>
      <w:r w:rsidRPr="0089429E">
        <w:rPr>
          <w:b/>
          <w:color w:val="1A1A1A"/>
          <w:sz w:val="22"/>
        </w:rPr>
        <w:t>Apresentação do Caso</w:t>
      </w:r>
      <w:r w:rsidRPr="0089429E">
        <w:rPr>
          <w:color w:val="1A1A1A"/>
          <w:sz w:val="22"/>
        </w:rPr>
        <w:t xml:space="preserve">: Feminina, 10 anos, portadora de Diabetes Mellitus tipo 1 (DM1) desde os 2 anos de idade, em uso de insulina glargina e regular, sem monitorização contínua da glicemia. Buscou serviço de urgência local com quadro de vômitos há 24 horas, dor muscular, hálito cetônico, desidratação e sonolência, evoluindo para rebaixamento do nível de consciência. Sem febre ou sintomas respiratórios. Sem acompanhamento endocrinológico recente. No atendimento inicial, glicemia capilar de 375 mg/dL. Gasometria venosa revelou acidose metabólica grave (pH 6,9; HCO₃⁻&lt;5,5 mmol/L; pCO₂ 7,5 mmHg). Foi iniciado o manejo com hidratação venosa agressiva utilizando solução salina isotônica (20 mL/kg), associada à reposição de potássio. </w:t>
      </w:r>
      <w:proofErr w:type="gramStart"/>
      <w:r w:rsidRPr="0089429E">
        <w:rPr>
          <w:color w:val="1A1A1A"/>
          <w:sz w:val="22"/>
        </w:rPr>
        <w:t>A</w:t>
      </w:r>
      <w:proofErr w:type="gramEnd"/>
      <w:r w:rsidRPr="0089429E">
        <w:rPr>
          <w:color w:val="1A1A1A"/>
          <w:sz w:val="22"/>
        </w:rPr>
        <w:t xml:space="preserve"> infusão contínua de insulina regular foi iniciada em dose reduzida (0,05 U/kg/h), sem bolus e sem adição de glicose nas primeiras horas. Após aproximadamente 2 horas de tratamento, observou-se melhora significativa, com elevação do pH para 7,12. A paciente manteve diurese adequada e apresentou estabilização progressiva da glicemia, sem necessidade de intubação ou suporte vasopressor. Após estabilização clínica, foi transferida em ambulância com suporte avançado para hospital com UTI pediátrica. </w:t>
      </w:r>
      <w:r w:rsidRPr="0089429E">
        <w:rPr>
          <w:b/>
          <w:color w:val="1A1A1A"/>
          <w:sz w:val="22"/>
        </w:rPr>
        <w:t>Discussão:</w:t>
      </w:r>
      <w:r w:rsidRPr="0089429E">
        <w:rPr>
          <w:color w:val="1A1A1A"/>
          <w:sz w:val="22"/>
        </w:rPr>
        <w:t xml:space="preserve"> A cetoacidose diabética (CAD) em pediatria costuma ocorrer por interrupção ou falha na insulinoterapia. O diagnóstico de CAD baseia-se em hiperglicemia (&gt; 11 mmol/L), acidose metabólica (pH &lt; 7,3 ou HCO₃ ⁻ &lt; 18 mmol/L) e cetonemia (beta‑hidroxibutirato ≥ 3 mmol/L) ou cetonúria moderada/alta. Observa‑se, porém, que apenas 8% dos municípios brasileiros dispõem de UTI pediátrica, dificultando condutas complexas em regiões remotas. De acordo com o ISPAD Clinical Practice Consensus Guidelines (2022), o manejo inicial deve priorizar a correção volêmica com solução isotônica, infusão contínua de insulina e reposição de potássio, visando neutralizar </w:t>
      </w:r>
      <w:proofErr w:type="gramStart"/>
      <w:r w:rsidRPr="0089429E">
        <w:rPr>
          <w:color w:val="1A1A1A"/>
          <w:sz w:val="22"/>
        </w:rPr>
        <w:t>a</w:t>
      </w:r>
      <w:proofErr w:type="gramEnd"/>
      <w:r w:rsidRPr="0089429E">
        <w:rPr>
          <w:color w:val="1A1A1A"/>
          <w:sz w:val="22"/>
        </w:rPr>
        <w:t xml:space="preserve"> acidose e restabelecer gradualmente osmolaridade plasmática e os níveis glicêmicos. Dessa forma, </w:t>
      </w:r>
      <w:proofErr w:type="gramStart"/>
      <w:r w:rsidRPr="0089429E">
        <w:rPr>
          <w:color w:val="1A1A1A"/>
          <w:sz w:val="22"/>
        </w:rPr>
        <w:t>a</w:t>
      </w:r>
      <w:proofErr w:type="gramEnd"/>
      <w:r w:rsidRPr="0089429E">
        <w:rPr>
          <w:color w:val="1A1A1A"/>
          <w:sz w:val="22"/>
        </w:rPr>
        <w:t xml:space="preserve"> aplicação rigorosa de guidelines e de Suporte Avançado de Vida Pediátrico garante a estabilização segura de CAD grave, mesmo na ausência de UTI pediátrica. </w:t>
      </w:r>
      <w:r w:rsidRPr="0089429E">
        <w:rPr>
          <w:b/>
          <w:color w:val="1A1A1A"/>
          <w:sz w:val="22"/>
        </w:rPr>
        <w:t>Considerações finais</w:t>
      </w:r>
      <w:r w:rsidRPr="0089429E">
        <w:rPr>
          <w:color w:val="1A1A1A"/>
          <w:sz w:val="22"/>
        </w:rPr>
        <w:t>: A ausência de UTI pediátrica não inviabiliza o tratamento adequado, desde que haja conhecimento técnico, suporte e monitoramento laboratorial. Portanto, o acompanhamento endocrinológico e a supervisão da insulinoterapia em crianças são fundamentais para evitar descompensações agudas da doença.</w:t>
      </w:r>
    </w:p>
    <w:p w:rsidR="000B5910" w:rsidRDefault="000B5910">
      <w:pPr>
        <w:pBdr>
          <w:bottom w:val="single" w:sz="4" w:space="2" w:color="808080"/>
        </w:pBdr>
        <w:spacing w:before="120" w:after="40"/>
      </w:pPr>
    </w:p>
    <w:p w:rsidR="000B5910" w:rsidRPr="0089429E" w:rsidRDefault="00057F5C">
      <w:pPr>
        <w:spacing w:after="0" w:line="252" w:lineRule="auto"/>
        <w:rPr>
          <w:sz w:val="16"/>
          <w:szCs w:val="16"/>
        </w:rPr>
      </w:pPr>
      <w:r w:rsidRPr="0089429E">
        <w:rPr>
          <w:color w:val="595959"/>
          <w:sz w:val="16"/>
          <w:szCs w:val="16"/>
          <w:vertAlign w:val="superscript"/>
        </w:rPr>
        <w:t>1</w:t>
      </w:r>
      <w:r w:rsidRPr="0089429E">
        <w:rPr>
          <w:color w:val="595959"/>
          <w:sz w:val="16"/>
          <w:szCs w:val="16"/>
        </w:rPr>
        <w:t xml:space="preserve"> Universidade do Vale do Rio dos Sinos (UNISINOS), São Leopoldo</w:t>
      </w:r>
    </w:p>
    <w:p w:rsidR="000B5910" w:rsidRDefault="000B5910">
      <w:pPr>
        <w:sectPr w:rsidR="000B5910">
          <w:headerReference w:type="default" r:id="rId195"/>
          <w:footerReference w:type="default" r:id="rId19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DOENÇA DE CUSHING NA INFÂNCIA POR MICROADENOMA HIPOFISÁRIO: RELATO DE CASO</w:t>
      </w:r>
    </w:p>
    <w:p w:rsidR="000B5910" w:rsidRPr="00546627" w:rsidRDefault="00057F5C">
      <w:pPr>
        <w:spacing w:after="40" w:line="252" w:lineRule="auto"/>
        <w:jc w:val="right"/>
        <w:rPr>
          <w:szCs w:val="21"/>
        </w:rPr>
      </w:pPr>
      <w:r w:rsidRPr="00546627">
        <w:rPr>
          <w:color w:val="1A1A1A"/>
          <w:szCs w:val="21"/>
        </w:rPr>
        <w:t>Caroline Laimer Davesac</w:t>
      </w:r>
      <w:r w:rsidRPr="00546627">
        <w:rPr>
          <w:color w:val="1A1A1A"/>
          <w:szCs w:val="21"/>
          <w:vertAlign w:val="superscript"/>
        </w:rPr>
        <w:t>1</w:t>
      </w:r>
      <w:r w:rsidRPr="00546627">
        <w:rPr>
          <w:szCs w:val="21"/>
        </w:rPr>
        <w:br/>
      </w:r>
      <w:r w:rsidRPr="00546627">
        <w:rPr>
          <w:color w:val="1A1A1A"/>
          <w:szCs w:val="21"/>
        </w:rPr>
        <w:t>Lara Carolina Duarte Orça</w:t>
      </w:r>
      <w:r w:rsidRPr="00546627">
        <w:rPr>
          <w:color w:val="1A1A1A"/>
          <w:szCs w:val="21"/>
          <w:vertAlign w:val="superscript"/>
        </w:rPr>
        <w:t>1</w:t>
      </w:r>
      <w:r w:rsidRPr="00546627">
        <w:rPr>
          <w:szCs w:val="21"/>
        </w:rPr>
        <w:br/>
      </w:r>
      <w:r w:rsidRPr="00546627">
        <w:rPr>
          <w:color w:val="1A1A1A"/>
          <w:szCs w:val="21"/>
        </w:rPr>
        <w:t>Bruna Wurdig Dornelles</w:t>
      </w:r>
      <w:r w:rsidRPr="00546627">
        <w:rPr>
          <w:color w:val="1A1A1A"/>
          <w:szCs w:val="21"/>
          <w:vertAlign w:val="superscript"/>
        </w:rPr>
        <w:t>2</w:t>
      </w:r>
      <w:r w:rsidRPr="00546627">
        <w:rPr>
          <w:szCs w:val="21"/>
        </w:rPr>
        <w:br/>
      </w:r>
      <w:r w:rsidRPr="00546627">
        <w:rPr>
          <w:color w:val="1A1A1A"/>
          <w:szCs w:val="21"/>
        </w:rPr>
        <w:t>Kemillin Dyulian Garcia</w:t>
      </w:r>
      <w:r w:rsidRPr="00546627">
        <w:rPr>
          <w:color w:val="1A1A1A"/>
          <w:szCs w:val="21"/>
          <w:vertAlign w:val="superscript"/>
        </w:rPr>
        <w:t>1</w:t>
      </w:r>
      <w:r w:rsidRPr="00546627">
        <w:rPr>
          <w:szCs w:val="21"/>
        </w:rPr>
        <w:br/>
      </w:r>
      <w:r w:rsidRPr="00546627">
        <w:rPr>
          <w:color w:val="1A1A1A"/>
          <w:szCs w:val="21"/>
        </w:rPr>
        <w:t>Bianca Larruscaim Biasuz</w:t>
      </w:r>
      <w:r w:rsidRPr="00546627">
        <w:rPr>
          <w:color w:val="1A1A1A"/>
          <w:szCs w:val="21"/>
          <w:vertAlign w:val="superscript"/>
        </w:rPr>
        <w:t>1</w:t>
      </w:r>
      <w:r w:rsidRPr="00546627">
        <w:rPr>
          <w:szCs w:val="21"/>
        </w:rPr>
        <w:br/>
      </w:r>
      <w:r w:rsidRPr="00546627">
        <w:rPr>
          <w:color w:val="1A1A1A"/>
          <w:szCs w:val="21"/>
        </w:rPr>
        <w:t>Raquel Ottoni</w:t>
      </w:r>
      <w:r w:rsidRPr="00546627">
        <w:rPr>
          <w:color w:val="1A1A1A"/>
          <w:szCs w:val="21"/>
          <w:vertAlign w:val="superscript"/>
        </w:rPr>
        <w:t>1</w:t>
      </w:r>
      <w:r w:rsidRPr="00546627">
        <w:rPr>
          <w:szCs w:val="21"/>
        </w:rPr>
        <w:br/>
      </w:r>
      <w:r w:rsidRPr="00546627">
        <w:rPr>
          <w:color w:val="1A1A1A"/>
          <w:szCs w:val="21"/>
        </w:rPr>
        <w:t>Germana Victórya Martins Borelli.</w:t>
      </w:r>
      <w:r w:rsidRPr="00546627">
        <w:rPr>
          <w:color w:val="1A1A1A"/>
          <w:szCs w:val="21"/>
          <w:vertAlign w:val="superscript"/>
        </w:rPr>
        <w:t>1</w:t>
      </w:r>
      <w:r w:rsidRPr="00546627">
        <w:rPr>
          <w:szCs w:val="21"/>
        </w:rPr>
        <w:br/>
      </w:r>
      <w:r w:rsidRPr="00546627">
        <w:rPr>
          <w:color w:val="1A1A1A"/>
          <w:szCs w:val="21"/>
        </w:rPr>
        <w:t>Fernanda Fritsch</w:t>
      </w:r>
      <w:r w:rsidRPr="00546627">
        <w:rPr>
          <w:color w:val="1A1A1A"/>
          <w:szCs w:val="21"/>
          <w:vertAlign w:val="superscript"/>
        </w:rPr>
        <w:t>1</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rPr>
      </w:pPr>
      <w:r w:rsidRPr="00546627">
        <w:rPr>
          <w:b/>
          <w:color w:val="1A1A1A"/>
          <w:sz w:val="22"/>
        </w:rPr>
        <w:t xml:space="preserve">Apresentação do Caso: </w:t>
      </w:r>
      <w:r w:rsidRPr="00546627">
        <w:rPr>
          <w:color w:val="1A1A1A"/>
          <w:sz w:val="22"/>
        </w:rPr>
        <w:t xml:space="preserve">Paciente masculino, 12 anos, encaminhado para investigação de obesidade de difícil controle, hipertensão arterial e estrias violáceas abdominais. Apresentava sinais de puberdade precoce e avanço da idade óssea. Nega comorbidades prévias e uso de corticoides exógenos. Ao exame físico, apresentava fácies cushingóide, obesidade centrípeta, giba cervicodorsal, estrias violáceas largas e PA de 135/85 mmHg. Na investigação laboratorial, observou-se elevação de cortisol urinário livre e salivar noturno, teste de supressão com 1 mg de dexametasona sem resposta (cortisol &gt; 1,8 µg/dL) e níveis de ACTH elevados (126 pg/mL), sugerindo hipercortisolismo ACTH-dependente. A ressonância magnética de sela túrcica evidenciou microadenoma hipofisário à direita. Confirmado diagnóstico de síndrome de Cushing ACTH-dependente. Realizou-se ressecção transesfenoidal, com seguimento em endocrinologia pediátrica e monitorização seriada de corticoide. </w:t>
      </w:r>
      <w:r w:rsidRPr="00546627">
        <w:rPr>
          <w:b/>
          <w:color w:val="1A1A1A"/>
          <w:sz w:val="22"/>
        </w:rPr>
        <w:t>Discussão:</w:t>
      </w:r>
      <w:r w:rsidRPr="00546627">
        <w:rPr>
          <w:color w:val="1A1A1A"/>
          <w:sz w:val="22"/>
        </w:rPr>
        <w:t xml:space="preserve"> A síndrome de Cushing endógena é rara na infância, sendo responsável por 5-10% dos casos de cushing endógeno. Os principais sinais e sintomas em crianças incluem obesidade centrípeta, fácies em lua cheia, hipertensão arterial, estrias violáceas, giba cervicodorsal, distúrbios puberais e baixa estatura. Apesar da apresentação clássica pediátrica, a presença de sinais de puberdade precoce e idade óssea avançada contrasta com </w:t>
      </w:r>
      <w:proofErr w:type="gramStart"/>
      <w:r w:rsidRPr="00546627">
        <w:rPr>
          <w:color w:val="1A1A1A"/>
          <w:sz w:val="22"/>
        </w:rPr>
        <w:t>a</w:t>
      </w:r>
      <w:proofErr w:type="gramEnd"/>
      <w:r w:rsidRPr="00546627">
        <w:rPr>
          <w:color w:val="1A1A1A"/>
          <w:sz w:val="22"/>
        </w:rPr>
        <w:t xml:space="preserve"> ideia de atraso da maturação esquelética no hipercortisolismo. 21% das crianças com síndrome de Cushing apresentam idade óssea avançada, relacionada à obesidade, resistência à insulina e elevação de andrógenos adrenais. O excesso de andrógenos adrenais e hiperinsulinismo favorecem a maturação esquelética, enquanto o hipercortisolismo tende </w:t>
      </w:r>
      <w:proofErr w:type="gramStart"/>
      <w:r w:rsidRPr="00546627">
        <w:rPr>
          <w:color w:val="1A1A1A"/>
          <w:sz w:val="22"/>
        </w:rPr>
        <w:t>a</w:t>
      </w:r>
      <w:proofErr w:type="gramEnd"/>
      <w:r w:rsidRPr="00546627">
        <w:rPr>
          <w:color w:val="1A1A1A"/>
          <w:sz w:val="22"/>
        </w:rPr>
        <w:t xml:space="preserve"> inibir o crescimento linear. Frequentemente a doença decorre de adenoma hipofisário produtor de ACTH. O diagnóstico precoce é fundamental para evitar exposição prolongada e otimizando os resultados. </w:t>
      </w:r>
      <w:proofErr w:type="gramStart"/>
      <w:r w:rsidRPr="00546627">
        <w:rPr>
          <w:color w:val="1A1A1A"/>
          <w:sz w:val="22"/>
        </w:rPr>
        <w:t>A</w:t>
      </w:r>
      <w:proofErr w:type="gramEnd"/>
      <w:r w:rsidRPr="00546627">
        <w:rPr>
          <w:color w:val="1A1A1A"/>
          <w:sz w:val="22"/>
        </w:rPr>
        <w:t xml:space="preserve"> investigação baseia-se em dosagens hormonais e testes de supressão com dexametasona. A RM auxilia na localização da lesão. O tratamento de escolha é a cirurgia transesfenoidal, visando normalizar os níveis de cortisol e restaurar o desenvolvimento adequado. </w:t>
      </w:r>
      <w:r w:rsidRPr="00546627">
        <w:rPr>
          <w:b/>
          <w:color w:val="1A1A1A"/>
          <w:sz w:val="22"/>
        </w:rPr>
        <w:t>Considerações finais:</w:t>
      </w:r>
      <w:r w:rsidRPr="00546627">
        <w:rPr>
          <w:color w:val="1A1A1A"/>
          <w:sz w:val="22"/>
        </w:rPr>
        <w:t xml:space="preserve"> Apesar da apresentação frequentemente insidiosa e da sobreposição com obesidade, o reconhecimento precoce da síndrome de Cushing na infância é fundamental para permitir intervenção adequada e reduzir complicações decorrentes do hipercortisolismo prolongado.</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do Vale do Rio dos Sinos (UNISINOS), São Leopoldo</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Médica endocrinologista da Clinica Dornelles, Novo Hamburgo</w:t>
      </w:r>
    </w:p>
    <w:p w:rsidR="000B5910" w:rsidRDefault="000B5910">
      <w:pPr>
        <w:sectPr w:rsidR="000B5910">
          <w:headerReference w:type="default" r:id="rId197"/>
          <w:footerReference w:type="default" r:id="rId198"/>
          <w:pgSz w:w="12240" w:h="15840"/>
          <w:pgMar w:top="1417" w:right="1417" w:bottom="1417" w:left="1417" w:header="680" w:footer="680" w:gutter="0"/>
          <w:cols w:space="720"/>
        </w:sectPr>
      </w:pPr>
    </w:p>
    <w:p w:rsidR="000B5910" w:rsidRDefault="00057F5C">
      <w:pPr>
        <w:spacing w:before="80" w:line="252" w:lineRule="auto"/>
        <w:jc w:val="center"/>
        <w:rPr>
          <w:spacing w:val="-17"/>
          <w:sz w:val="22"/>
          <w:szCs w:val="24"/>
        </w:rPr>
      </w:pPr>
      <w:r>
        <w:rPr>
          <w:b/>
          <w:color w:val="1A1A1A"/>
          <w:spacing w:val="-17"/>
          <w:sz w:val="28"/>
          <w:szCs w:val="24"/>
        </w:rPr>
        <w:lastRenderedPageBreak/>
        <w:t>MANIFESTAÇÕES NEUROPSIQUIÁTRICAS COMO APRESENTAÇÃO INICIAL DE DOENÇA DE GRAVES NA INFÂNCIA: UM RELATO DE CASO</w:t>
      </w:r>
    </w:p>
    <w:p w:rsidR="000B5910" w:rsidRPr="00546627" w:rsidRDefault="00057F5C">
      <w:pPr>
        <w:spacing w:after="40" w:line="252" w:lineRule="auto"/>
        <w:jc w:val="right"/>
        <w:rPr>
          <w:szCs w:val="21"/>
        </w:rPr>
      </w:pPr>
      <w:r w:rsidRPr="00546627">
        <w:rPr>
          <w:color w:val="1A1A1A"/>
          <w:szCs w:val="21"/>
        </w:rPr>
        <w:t>Catharina Anselmini Accorsi</w:t>
      </w:r>
      <w:r w:rsidRPr="00546627">
        <w:rPr>
          <w:color w:val="1A1A1A"/>
          <w:szCs w:val="21"/>
          <w:vertAlign w:val="superscript"/>
        </w:rPr>
        <w:t>1</w:t>
      </w:r>
      <w:r w:rsidRPr="00546627">
        <w:rPr>
          <w:szCs w:val="21"/>
        </w:rPr>
        <w:br/>
      </w:r>
      <w:r w:rsidRPr="00546627">
        <w:rPr>
          <w:color w:val="1A1A1A"/>
          <w:szCs w:val="21"/>
        </w:rPr>
        <w:t>Giovanna do Valle Oliveira</w:t>
      </w:r>
      <w:r w:rsidRPr="00546627">
        <w:rPr>
          <w:color w:val="1A1A1A"/>
          <w:szCs w:val="21"/>
          <w:vertAlign w:val="superscript"/>
        </w:rPr>
        <w:t>1</w:t>
      </w:r>
      <w:r w:rsidRPr="00546627">
        <w:rPr>
          <w:szCs w:val="21"/>
        </w:rPr>
        <w:br/>
      </w:r>
      <w:r w:rsidRPr="00546627">
        <w:rPr>
          <w:color w:val="1A1A1A"/>
          <w:szCs w:val="21"/>
        </w:rPr>
        <w:t>Isadora Luisa Duarte da Rocha</w:t>
      </w:r>
      <w:r w:rsidRPr="00546627">
        <w:rPr>
          <w:color w:val="1A1A1A"/>
          <w:szCs w:val="21"/>
          <w:vertAlign w:val="superscript"/>
        </w:rPr>
        <w:t>1</w:t>
      </w:r>
      <w:r w:rsidRPr="00546627">
        <w:rPr>
          <w:szCs w:val="21"/>
        </w:rPr>
        <w:br/>
      </w:r>
      <w:r w:rsidRPr="00546627">
        <w:rPr>
          <w:color w:val="1A1A1A"/>
          <w:szCs w:val="21"/>
        </w:rPr>
        <w:t>Luiza Orige de Azevedo</w:t>
      </w:r>
      <w:r w:rsidRPr="00546627">
        <w:rPr>
          <w:color w:val="1A1A1A"/>
          <w:szCs w:val="21"/>
          <w:vertAlign w:val="superscript"/>
        </w:rPr>
        <w:t>1</w:t>
      </w:r>
      <w:r w:rsidRPr="00546627">
        <w:rPr>
          <w:szCs w:val="21"/>
        </w:rPr>
        <w:br/>
      </w:r>
      <w:r w:rsidRPr="00546627">
        <w:rPr>
          <w:color w:val="1A1A1A"/>
          <w:szCs w:val="21"/>
        </w:rPr>
        <w:t>Manoela Palandi</w:t>
      </w:r>
      <w:r w:rsidRPr="00546627">
        <w:rPr>
          <w:color w:val="1A1A1A"/>
          <w:szCs w:val="21"/>
          <w:vertAlign w:val="superscript"/>
        </w:rPr>
        <w:t>1</w:t>
      </w:r>
      <w:r w:rsidRPr="00546627">
        <w:rPr>
          <w:szCs w:val="21"/>
        </w:rPr>
        <w:br/>
      </w:r>
      <w:r w:rsidRPr="00546627">
        <w:rPr>
          <w:color w:val="1A1A1A"/>
          <w:szCs w:val="21"/>
        </w:rPr>
        <w:t>Hannah Noronha Silva</w:t>
      </w:r>
      <w:r w:rsidRPr="00546627">
        <w:rPr>
          <w:color w:val="1A1A1A"/>
          <w:szCs w:val="21"/>
          <w:vertAlign w:val="superscript"/>
        </w:rPr>
        <w:t>2</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rPr>
      </w:pPr>
      <w:r w:rsidRPr="00546627">
        <w:rPr>
          <w:b/>
          <w:color w:val="1A1A1A"/>
          <w:sz w:val="22"/>
        </w:rPr>
        <w:t>Apresentação do Caso</w:t>
      </w:r>
      <w:r w:rsidRPr="00546627">
        <w:rPr>
          <w:color w:val="1A1A1A"/>
          <w:sz w:val="22"/>
        </w:rPr>
        <w:t xml:space="preserve">: Paciente V.S.A., masculino, 12 anos, foi encaminhado à endocrinologia pediátrica por suspeita de tireoidopatia. Inicialmente, procurou atendimento por agitação, irritabilidade e dificuldade de concentração, recebendo diagnóstico de transtorno de déficit de atenção e hiperatividade (TDAH), iniciando uso de metilfenidato. Meses depois, evoluiu com protrusão ocular, sendo orientado a nova avaliação. Ao exame físico, apresentava tireoide de pequenas dimensões, sem nódulos à palpação. Exames laboratoriais confirmaram hipertireoidismo (TSH &lt;0,003 mUI/L, T4 livre 1,43 ng/dL, T3 5,77) de etiologia autoimune, com TRAb 10,12. Foi iniciado metimazol 7,5 mg/dia, associado a colírio e gel lubrificantes oculares, além da suspensão do metilfenidato. Após três meses, retornou para reavaliação em uso de metimazol 5 mg/dia, com melhora parcial das alterações de humor. Na ocasião, apresentava TSH de 4,051 mUI/L, sendo mantido o tratamento. O paciente seguiu em acompanhamento, com possibilidade de redução do Metimazol para 5mg, mantendo eutireoidismo, com melhora total dos sintomas psiquiátricos. </w:t>
      </w:r>
      <w:r w:rsidRPr="00546627">
        <w:rPr>
          <w:b/>
          <w:color w:val="1A1A1A"/>
          <w:sz w:val="22"/>
        </w:rPr>
        <w:t>Discussão</w:t>
      </w:r>
      <w:r w:rsidRPr="00546627">
        <w:rPr>
          <w:color w:val="1A1A1A"/>
          <w:sz w:val="22"/>
        </w:rPr>
        <w:t xml:space="preserve">: A doença de Graves é a principal causa de hipertireoidismo em crianças e adolescentes, manifestando-se geralmente por taquicardia, perda de peso, intolerância ao calor e sinais oftalmológicos. Na infância, o hipertireoidismo, tende a gerar mais oscilações de humor e distúrbios comportamentais em comparação com adultos, apesar de não ser </w:t>
      </w:r>
      <w:proofErr w:type="gramStart"/>
      <w:r w:rsidRPr="00546627">
        <w:rPr>
          <w:color w:val="1A1A1A"/>
          <w:sz w:val="22"/>
        </w:rPr>
        <w:t>a</w:t>
      </w:r>
      <w:proofErr w:type="gramEnd"/>
      <w:r w:rsidRPr="00546627">
        <w:rPr>
          <w:color w:val="1A1A1A"/>
          <w:sz w:val="22"/>
        </w:rPr>
        <w:t xml:space="preserve"> apresentação mais frequente. Muitas crianças, como o caso aponta, são encaminhadas para investigar alterações emocionais e comportamentais, antes mesmo de se considerar a possibilidade de um distúrbio de tireoide. Nesses casos, sintomas como dificuldade de concentração e baixo rendimento escolar frequentemente são interpretados de forma equivocada como TDAH. O tratamento adequado da Doença de Graves promove melhora significativa dos sintomas neuropsiquiátricos, visto que grande parte dessas manifestações decorre diretamente do excesso de hormônios tireoidianos</w:t>
      </w:r>
      <w:r w:rsidRPr="00546627">
        <w:rPr>
          <w:b/>
          <w:color w:val="1A1A1A"/>
          <w:sz w:val="22"/>
        </w:rPr>
        <w:t>. Considerações finais</w:t>
      </w:r>
      <w:r w:rsidRPr="00546627">
        <w:rPr>
          <w:color w:val="1A1A1A"/>
          <w:sz w:val="22"/>
        </w:rPr>
        <w:t xml:space="preserve">: Este caso evidencia a necessidade de atenção criteriosa na avaliação dos sinais e sintomas de hipertireoidismo, especialmente em crianças e adolescentes, em razão das particularidades clínicas próprias dessa faixa etária. Nesse contexto, reforça-se </w:t>
      </w:r>
      <w:proofErr w:type="gramStart"/>
      <w:r w:rsidRPr="00546627">
        <w:rPr>
          <w:color w:val="1A1A1A"/>
          <w:sz w:val="22"/>
        </w:rPr>
        <w:t>a</w:t>
      </w:r>
      <w:proofErr w:type="gramEnd"/>
      <w:r w:rsidRPr="00546627">
        <w:rPr>
          <w:color w:val="1A1A1A"/>
          <w:sz w:val="22"/>
        </w:rPr>
        <w:t xml:space="preserve"> importância do diagnóstico precoce e da instituição de tratamento adequado, a fim de prevenir repercussões negativas sobre o bem-estar e o desenvolvimento do paciente.</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Luterana do Brasil - ULBRA</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Universidade Luterana do Brasil – ULBRA</w:t>
      </w:r>
    </w:p>
    <w:p w:rsidR="000B5910" w:rsidRDefault="000B5910">
      <w:pPr>
        <w:sectPr w:rsidR="000B5910">
          <w:headerReference w:type="default" r:id="rId199"/>
          <w:footerReference w:type="default" r:id="rId20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BENEFÍCIOS DO EXERCÍCIO DE FORÇA EM CRIANÇAS E ADOLESCENTES COM SOBREPESO OU OBESIDADE: UMA REVISÃO SISTEMÁTICA E META-ANÁLISE</w:t>
      </w:r>
    </w:p>
    <w:p w:rsidR="000B5910" w:rsidRPr="00546627" w:rsidRDefault="00057F5C">
      <w:pPr>
        <w:spacing w:after="40" w:line="252" w:lineRule="auto"/>
        <w:jc w:val="right"/>
        <w:rPr>
          <w:szCs w:val="21"/>
        </w:rPr>
      </w:pPr>
      <w:r w:rsidRPr="00546627">
        <w:rPr>
          <w:color w:val="1A1A1A"/>
          <w:szCs w:val="21"/>
        </w:rPr>
        <w:t>Valesca Zanfonatto Cecatto</w:t>
      </w:r>
      <w:r w:rsidRPr="00546627">
        <w:rPr>
          <w:color w:val="1A1A1A"/>
          <w:szCs w:val="21"/>
          <w:vertAlign w:val="superscript"/>
        </w:rPr>
        <w:t>1</w:t>
      </w:r>
      <w:r w:rsidRPr="00546627">
        <w:rPr>
          <w:szCs w:val="21"/>
        </w:rPr>
        <w:br/>
      </w:r>
      <w:r w:rsidRPr="00546627">
        <w:rPr>
          <w:color w:val="1A1A1A"/>
          <w:szCs w:val="21"/>
        </w:rPr>
        <w:t>Anderson Rech</w:t>
      </w:r>
      <w:r w:rsidRPr="00546627">
        <w:rPr>
          <w:color w:val="1A1A1A"/>
          <w:szCs w:val="21"/>
          <w:vertAlign w:val="superscript"/>
        </w:rPr>
        <w:t>1</w:t>
      </w:r>
      <w:r w:rsidRPr="00546627">
        <w:rPr>
          <w:szCs w:val="21"/>
        </w:rPr>
        <w:br/>
      </w:r>
      <w:r w:rsidRPr="00546627">
        <w:rPr>
          <w:color w:val="1A1A1A"/>
          <w:szCs w:val="21"/>
        </w:rPr>
        <w:t>Alexandra Carol Cioatto</w:t>
      </w:r>
      <w:r w:rsidRPr="00546627">
        <w:rPr>
          <w:color w:val="1A1A1A"/>
          <w:szCs w:val="21"/>
          <w:vertAlign w:val="superscript"/>
        </w:rPr>
        <w:t>1</w:t>
      </w:r>
      <w:r w:rsidRPr="00546627">
        <w:rPr>
          <w:szCs w:val="21"/>
        </w:rPr>
        <w:br/>
      </w:r>
      <w:r w:rsidRPr="00546627">
        <w:rPr>
          <w:color w:val="1A1A1A"/>
          <w:szCs w:val="21"/>
        </w:rPr>
        <w:t>Bruna Marcon Paniz</w:t>
      </w:r>
      <w:r w:rsidRPr="00546627">
        <w:rPr>
          <w:color w:val="1A1A1A"/>
          <w:szCs w:val="21"/>
          <w:vertAlign w:val="superscript"/>
        </w:rPr>
        <w:t>1</w:t>
      </w:r>
      <w:r w:rsidRPr="00546627">
        <w:rPr>
          <w:szCs w:val="21"/>
        </w:rPr>
        <w:br/>
      </w:r>
      <w:r w:rsidRPr="00546627">
        <w:rPr>
          <w:color w:val="1A1A1A"/>
          <w:szCs w:val="21"/>
        </w:rPr>
        <w:t>Douglas Jean Preussler Turella</w:t>
      </w:r>
      <w:r w:rsidRPr="00546627">
        <w:rPr>
          <w:color w:val="1A1A1A"/>
          <w:szCs w:val="21"/>
          <w:vertAlign w:val="superscript"/>
        </w:rPr>
        <w:t>1</w:t>
      </w:r>
      <w:r w:rsidRPr="00546627">
        <w:rPr>
          <w:szCs w:val="21"/>
        </w:rPr>
        <w:br/>
      </w:r>
      <w:r w:rsidRPr="00546627">
        <w:rPr>
          <w:color w:val="1A1A1A"/>
          <w:szCs w:val="21"/>
        </w:rPr>
        <w:t>Rocha Nonemacher</w:t>
      </w:r>
      <w:r w:rsidRPr="00546627">
        <w:rPr>
          <w:color w:val="1A1A1A"/>
          <w:szCs w:val="21"/>
          <w:vertAlign w:val="superscript"/>
        </w:rPr>
        <w:t>1</w:t>
      </w:r>
      <w:r w:rsidRPr="00546627">
        <w:rPr>
          <w:szCs w:val="21"/>
        </w:rPr>
        <w:br/>
      </w:r>
      <w:r w:rsidRPr="00546627">
        <w:rPr>
          <w:color w:val="1A1A1A"/>
          <w:szCs w:val="21"/>
        </w:rPr>
        <w:t>Guilherme Triches Silvestro</w:t>
      </w:r>
      <w:r w:rsidRPr="00546627">
        <w:rPr>
          <w:color w:val="1A1A1A"/>
          <w:szCs w:val="21"/>
          <w:vertAlign w:val="superscript"/>
        </w:rPr>
        <w:t>1</w:t>
      </w:r>
      <w:r w:rsidRPr="00546627">
        <w:rPr>
          <w:szCs w:val="21"/>
        </w:rPr>
        <w:br/>
      </w:r>
      <w:r w:rsidRPr="00546627">
        <w:rPr>
          <w:color w:val="1A1A1A"/>
          <w:szCs w:val="21"/>
        </w:rPr>
        <w:t>Henrique Tonin de Almeida</w:t>
      </w:r>
      <w:r w:rsidRPr="00546627">
        <w:rPr>
          <w:color w:val="1A1A1A"/>
          <w:szCs w:val="21"/>
          <w:vertAlign w:val="superscript"/>
        </w:rPr>
        <w:t>1</w:t>
      </w:r>
      <w:r w:rsidRPr="00546627">
        <w:rPr>
          <w:szCs w:val="21"/>
        </w:rPr>
        <w:br/>
      </w:r>
      <w:r w:rsidRPr="00546627">
        <w:rPr>
          <w:color w:val="1A1A1A"/>
          <w:szCs w:val="21"/>
        </w:rPr>
        <w:t>Regis Radaelli</w:t>
      </w:r>
      <w:r w:rsidRPr="00546627">
        <w:rPr>
          <w:color w:val="1A1A1A"/>
          <w:szCs w:val="21"/>
          <w:vertAlign w:val="superscript"/>
        </w:rPr>
        <w:t>1</w:t>
      </w:r>
      <w:r w:rsidRPr="00546627">
        <w:rPr>
          <w:szCs w:val="21"/>
        </w:rPr>
        <w:br/>
      </w:r>
      <w:r w:rsidRPr="00546627">
        <w:rPr>
          <w:color w:val="1A1A1A"/>
          <w:szCs w:val="21"/>
        </w:rPr>
        <w:t>Renata Nicolao Bassanesi</w:t>
      </w:r>
      <w:r w:rsidRPr="00546627">
        <w:rPr>
          <w:color w:val="1A1A1A"/>
          <w:szCs w:val="21"/>
          <w:vertAlign w:val="superscript"/>
        </w:rPr>
        <w:t>1</w:t>
      </w:r>
      <w:r w:rsidRPr="00546627">
        <w:rPr>
          <w:szCs w:val="21"/>
        </w:rPr>
        <w:br/>
      </w:r>
      <w:r w:rsidRPr="00546627">
        <w:rPr>
          <w:color w:val="1A1A1A"/>
          <w:szCs w:val="21"/>
        </w:rPr>
        <w:t>Victoria Maria Wendt</w:t>
      </w:r>
      <w:r w:rsidRPr="00546627">
        <w:rPr>
          <w:color w:val="1A1A1A"/>
          <w:szCs w:val="21"/>
          <w:vertAlign w:val="superscript"/>
        </w:rPr>
        <w:t>1</w:t>
      </w:r>
      <w:r w:rsidRPr="00546627">
        <w:rPr>
          <w:szCs w:val="21"/>
        </w:rPr>
        <w:br/>
      </w:r>
      <w:r w:rsidRPr="00546627">
        <w:rPr>
          <w:color w:val="1A1A1A"/>
          <w:szCs w:val="21"/>
        </w:rPr>
        <w:t>Pedro Lopez</w:t>
      </w:r>
      <w:r w:rsidRPr="00546627">
        <w:rPr>
          <w:color w:val="1A1A1A"/>
          <w:szCs w:val="21"/>
          <w:vertAlign w:val="superscript"/>
        </w:rPr>
        <w:t>1</w:t>
      </w:r>
    </w:p>
    <w:p w:rsidR="000B5910" w:rsidRDefault="00057F5C">
      <w:pPr>
        <w:spacing w:before="200" w:after="100"/>
      </w:pPr>
      <w:r>
        <w:rPr>
          <w:b/>
          <w:color w:val="1A1A1A"/>
          <w:sz w:val="22"/>
          <w:szCs w:val="24"/>
        </w:rPr>
        <w:t>RESUMO</w:t>
      </w:r>
    </w:p>
    <w:p w:rsidR="000B5910" w:rsidRPr="00546627" w:rsidRDefault="00057F5C" w:rsidP="00546627">
      <w:pPr>
        <w:spacing w:after="80" w:line="240" w:lineRule="auto"/>
        <w:jc w:val="both"/>
        <w:rPr>
          <w:sz w:val="22"/>
        </w:rPr>
      </w:pPr>
      <w:r w:rsidRPr="00546627">
        <w:rPr>
          <w:b/>
          <w:color w:val="1A1A1A"/>
          <w:sz w:val="22"/>
        </w:rPr>
        <w:t>Introdução:</w:t>
      </w:r>
      <w:r w:rsidRPr="00546627">
        <w:rPr>
          <w:color w:val="1A1A1A"/>
          <w:sz w:val="22"/>
        </w:rPr>
        <w:t xml:space="preserve"> A obesidade infantil é um problema crescente de saúde pública global, associado ao maior risco de comorbidades e que tem motivado estratégias de prevenção e tratamento baseadas em mudanças no estilo de vida. Entre as estratégias não farmacológicas, o exercício físico tem sido amplamente recomendado e embora o exercício aeróbico seja frequentemente enfatizado, evidências sugerem que o treinamento de força também contribui para a melhora da composição corporal em jovens com sobrepeso ou obesidade. </w:t>
      </w:r>
      <w:r w:rsidRPr="00546627">
        <w:rPr>
          <w:b/>
          <w:color w:val="1A1A1A"/>
          <w:sz w:val="22"/>
        </w:rPr>
        <w:t xml:space="preserve">Objetivo: </w:t>
      </w:r>
      <w:r w:rsidRPr="00546627">
        <w:rPr>
          <w:color w:val="1A1A1A"/>
          <w:sz w:val="22"/>
        </w:rPr>
        <w:t xml:space="preserve">Este estudo tem como objetivo avaliar os efeitos de programas de exercício baseados em treinamento de força sobre a massa gorda, massa magra, percentual de gordura corporal e peso corporal em crianças e adolescentes com sobrepeso ou obesidade, bem como identificar possíveis moderadores que possam influenciar esses efeitos. </w:t>
      </w:r>
      <w:r w:rsidRPr="00546627">
        <w:rPr>
          <w:b/>
          <w:color w:val="1A1A1A"/>
          <w:sz w:val="22"/>
        </w:rPr>
        <w:t>Métodos</w:t>
      </w:r>
      <w:r w:rsidRPr="00546627">
        <w:rPr>
          <w:color w:val="1A1A1A"/>
          <w:sz w:val="22"/>
        </w:rPr>
        <w:t xml:space="preserve">: Oito bases de dados eletrônicas e três literaturas cinzentas foram consultadas desde a sua criação até maio de 2025. Foram incluídos ensaios clínicos randomizados que avaliaram programas de exercício baseados em treinamento de força em crianças e adolescentes classificados com sobrepeso ou obesidade. Os dados foram extraídos independentemente e em duplicata, e meta-análises com efeitos aleatórios foram realizadas. </w:t>
      </w:r>
      <w:r w:rsidRPr="00546627">
        <w:rPr>
          <w:b/>
          <w:color w:val="1A1A1A"/>
          <w:sz w:val="22"/>
        </w:rPr>
        <w:t>Resultados:</w:t>
      </w:r>
      <w:r w:rsidRPr="00546627">
        <w:rPr>
          <w:color w:val="1A1A1A"/>
          <w:sz w:val="22"/>
        </w:rPr>
        <w:t xml:space="preserve"> Vinte e três ensaios (n = 846 participantes) foram incluídos e concluíram que o exercício de força reduziu significativamente a massa gorda em -2,06kg (IC 95% = −2,68 a −1,44 kg), o percentual de gordura corporal em -2,1% (IC 95% = −2,68 a −1,44) e o peso corporal em -1,3kg (IC 95% = −2,49 a −0,11 kg) , além de aumentar a massa magra em +0,8kg (IC 95% = 0,53 a 0,98 kg), com tamanhos de efeito pequenos a moderados (SMD = −0,35 a 0,33; p &lt; 0,05). Além disso, não foram identificados efeitos moderadores significativos de idade, sexo, duração, volume ou intensidade que possam influenciar esses efeitos.</w:t>
      </w:r>
      <w:r w:rsidRPr="00546627">
        <w:rPr>
          <w:b/>
          <w:color w:val="1A1A1A"/>
          <w:sz w:val="22"/>
        </w:rPr>
        <w:t xml:space="preserve"> Conclusão:</w:t>
      </w:r>
      <w:r w:rsidRPr="00546627">
        <w:rPr>
          <w:color w:val="1A1A1A"/>
          <w:sz w:val="22"/>
        </w:rPr>
        <w:t xml:space="preserve"> Nota-se que o treinamento de força melhora a composição corporal de crianças e adolescentes com excesso de peso ou obesidade, independente de idade, sexo, nível de obesidade e características da prescrição de exercício. Ademais, destaca-se que embora os valores possam ser considerados modestos em termos absolutos, essas mudanças são especialmente importantes em grupos infantis, pois, na infância e adolescência favorecem uma melhora significativa na regulação do açúcar no sangue, na otimização do metabolismo de energia e na elevação da capacidade funcional.</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de Caxias do Sul</w:t>
      </w:r>
    </w:p>
    <w:p w:rsidR="000B5910" w:rsidRDefault="000B5910">
      <w:pPr>
        <w:sectPr w:rsidR="000B5910">
          <w:headerReference w:type="default" r:id="rId201"/>
          <w:footerReference w:type="default" r:id="rId20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EFICÁCIA E SEGURANÇA DE AGONISTAS DO RECEPTOR DE GLP-1 (LIRAGLUTIDA E SEMAGLUTIDA) NA REDUÇÃO DE PESO EM CRIANÇAS E ADOLESCENTES COM OBESIDADE - UMA REVISÃO SISTEMÁTICA</w:t>
      </w:r>
    </w:p>
    <w:p w:rsidR="000B5910" w:rsidRPr="00546627" w:rsidRDefault="00057F5C">
      <w:pPr>
        <w:spacing w:after="40" w:line="252" w:lineRule="auto"/>
        <w:jc w:val="right"/>
        <w:rPr>
          <w:szCs w:val="21"/>
        </w:rPr>
      </w:pPr>
      <w:r w:rsidRPr="00546627">
        <w:rPr>
          <w:color w:val="1A1A1A"/>
          <w:szCs w:val="21"/>
        </w:rPr>
        <w:t>Andressa Ribeiro</w:t>
      </w:r>
      <w:r w:rsidRPr="00546627">
        <w:rPr>
          <w:color w:val="1A1A1A"/>
          <w:szCs w:val="21"/>
          <w:vertAlign w:val="superscript"/>
        </w:rPr>
        <w:t>1</w:t>
      </w:r>
      <w:r w:rsidRPr="00546627">
        <w:rPr>
          <w:szCs w:val="21"/>
        </w:rPr>
        <w:br/>
      </w:r>
      <w:r w:rsidRPr="00546627">
        <w:rPr>
          <w:color w:val="1A1A1A"/>
          <w:szCs w:val="21"/>
        </w:rPr>
        <w:t>Isabella Pereira Herrera</w:t>
      </w:r>
      <w:r w:rsidRPr="00546627">
        <w:rPr>
          <w:color w:val="1A1A1A"/>
          <w:szCs w:val="21"/>
          <w:vertAlign w:val="superscript"/>
        </w:rPr>
        <w:t>1</w:t>
      </w:r>
      <w:r w:rsidRPr="00546627">
        <w:rPr>
          <w:szCs w:val="21"/>
        </w:rPr>
        <w:br/>
      </w:r>
      <w:r w:rsidRPr="00546627">
        <w:rPr>
          <w:color w:val="1A1A1A"/>
          <w:szCs w:val="21"/>
        </w:rPr>
        <w:t>Mariana Hörbe Perez</w:t>
      </w:r>
      <w:r w:rsidRPr="00546627">
        <w:rPr>
          <w:color w:val="1A1A1A"/>
          <w:szCs w:val="21"/>
          <w:vertAlign w:val="superscript"/>
        </w:rPr>
        <w:t>1</w:t>
      </w:r>
      <w:r w:rsidRPr="00546627">
        <w:rPr>
          <w:szCs w:val="21"/>
        </w:rPr>
        <w:br/>
      </w:r>
      <w:r w:rsidRPr="00546627">
        <w:rPr>
          <w:color w:val="1A1A1A"/>
          <w:szCs w:val="21"/>
        </w:rPr>
        <w:t>Maria Luisa Prado Araujo Silva</w:t>
      </w:r>
      <w:r w:rsidRPr="00546627">
        <w:rPr>
          <w:color w:val="1A1A1A"/>
          <w:szCs w:val="21"/>
          <w:vertAlign w:val="superscript"/>
        </w:rPr>
        <w:t>1</w:t>
      </w:r>
      <w:r w:rsidRPr="00546627">
        <w:rPr>
          <w:szCs w:val="21"/>
        </w:rPr>
        <w:br/>
      </w:r>
      <w:r w:rsidRPr="00546627">
        <w:rPr>
          <w:color w:val="1A1A1A"/>
          <w:szCs w:val="21"/>
        </w:rPr>
        <w:t>Matheus Heringer dos Santos</w:t>
      </w:r>
      <w:r w:rsidRPr="00546627">
        <w:rPr>
          <w:color w:val="1A1A1A"/>
          <w:szCs w:val="21"/>
          <w:vertAlign w:val="superscript"/>
        </w:rPr>
        <w:t>1</w:t>
      </w:r>
    </w:p>
    <w:p w:rsidR="000B5910" w:rsidRDefault="00057F5C">
      <w:pPr>
        <w:spacing w:before="240" w:after="100"/>
      </w:pPr>
      <w:r>
        <w:rPr>
          <w:b/>
          <w:color w:val="1A1A1A"/>
          <w:sz w:val="22"/>
        </w:rPr>
        <w:t>RESUMO</w:t>
      </w:r>
    </w:p>
    <w:p w:rsidR="000B5910" w:rsidRPr="00546627" w:rsidRDefault="00057F5C">
      <w:pPr>
        <w:spacing w:after="80"/>
        <w:jc w:val="both"/>
        <w:rPr>
          <w:sz w:val="22"/>
        </w:rPr>
      </w:pPr>
      <w:r w:rsidRPr="00546627">
        <w:rPr>
          <w:b/>
          <w:color w:val="1A1A1A"/>
          <w:sz w:val="22"/>
        </w:rPr>
        <w:t>Introdução</w:t>
      </w:r>
      <w:r w:rsidRPr="00546627">
        <w:rPr>
          <w:color w:val="1A1A1A"/>
          <w:sz w:val="22"/>
        </w:rPr>
        <w:t xml:space="preserve">: A obesidade pediátrica é um problema de saúde pública, associando-se a complicações cardiovasculares e metabólicas precoces. Assim, agonistas do receptor do peptídeo semelhante ao glucagon tipo 1 (GLP-1), que promovem redução do peso por aumentar a saciedade, retardar o esvaziamento gástrico e reduzir </w:t>
      </w:r>
      <w:proofErr w:type="gramStart"/>
      <w:r w:rsidRPr="00546627">
        <w:rPr>
          <w:color w:val="1A1A1A"/>
          <w:sz w:val="22"/>
        </w:rPr>
        <w:t>a</w:t>
      </w:r>
      <w:proofErr w:type="gramEnd"/>
      <w:r w:rsidRPr="00546627">
        <w:rPr>
          <w:color w:val="1A1A1A"/>
          <w:sz w:val="22"/>
        </w:rPr>
        <w:t xml:space="preserve"> ingestão alimentar por ação em centros hipotalâmicos do apetite, são investigados como opções terapêuticas para auxiliar na redução de peso em crianças e adolescentes. </w:t>
      </w:r>
      <w:r w:rsidRPr="00546627">
        <w:rPr>
          <w:b/>
          <w:color w:val="1A1A1A"/>
          <w:sz w:val="22"/>
        </w:rPr>
        <w:t>Objetivo:</w:t>
      </w:r>
      <w:r w:rsidRPr="00546627">
        <w:rPr>
          <w:color w:val="1A1A1A"/>
          <w:sz w:val="22"/>
        </w:rPr>
        <w:t xml:space="preserve"> Avaliar a eficácia e segurança entre liraglutida e semaglutida na redução de peso na faixa pediátrica (6 </w:t>
      </w:r>
      <w:proofErr w:type="gramStart"/>
      <w:r w:rsidRPr="00546627">
        <w:rPr>
          <w:color w:val="1A1A1A"/>
          <w:sz w:val="22"/>
        </w:rPr>
        <w:t>a</w:t>
      </w:r>
      <w:proofErr w:type="gramEnd"/>
      <w:r w:rsidRPr="00546627">
        <w:rPr>
          <w:color w:val="1A1A1A"/>
          <w:sz w:val="22"/>
        </w:rPr>
        <w:t xml:space="preserve"> 18 anos) com obesidade. </w:t>
      </w:r>
      <w:r w:rsidRPr="00546627">
        <w:rPr>
          <w:b/>
          <w:color w:val="1A1A1A"/>
          <w:sz w:val="22"/>
        </w:rPr>
        <w:t>Métodos:</w:t>
      </w:r>
      <w:r w:rsidRPr="00546627">
        <w:rPr>
          <w:color w:val="1A1A1A"/>
          <w:sz w:val="22"/>
        </w:rPr>
        <w:t xml:space="preserve"> Revisão sistemática conforme PRISMA, nas bases PubMed, BVS e Cochrane, com termos relacionados à “obesidade pediátrica” AND “agonista do receptor GLP-1”, por meio de descritores MeSH, de forma a cobrir termos sobre drogas, obesidade, faixa pediátrica e IMC (índice de massa corporal). Incluíram-se crianças e adolescentes com obesidade, avaliação de parâmetros relacionados ao peso, ensaios clínicos randomizados ou estudos observacionais comparativos, publicados nos últimos 10 anos (inglês/português/espanhol). Excluíram-se estudos com dados insuficientes ou sem acesso ao texto completo. </w:t>
      </w:r>
      <w:r w:rsidRPr="00546627">
        <w:rPr>
          <w:b/>
          <w:color w:val="1A1A1A"/>
          <w:sz w:val="22"/>
        </w:rPr>
        <w:t>Resultados:</w:t>
      </w:r>
      <w:r w:rsidRPr="00546627">
        <w:rPr>
          <w:color w:val="1A1A1A"/>
          <w:sz w:val="22"/>
        </w:rPr>
        <w:t xml:space="preserve"> Os agonistas do receptor de GLP-1 mostraram eficácia na redução de parâmetros antropométricos em pacientes pediátricos com obesidade quando comparados ao placebo ou </w:t>
      </w:r>
      <w:proofErr w:type="gramStart"/>
      <w:r w:rsidRPr="00546627">
        <w:rPr>
          <w:color w:val="1A1A1A"/>
          <w:sz w:val="22"/>
        </w:rPr>
        <w:t>a</w:t>
      </w:r>
      <w:proofErr w:type="gramEnd"/>
      <w:r w:rsidRPr="00546627">
        <w:rPr>
          <w:color w:val="1A1A1A"/>
          <w:sz w:val="22"/>
        </w:rPr>
        <w:t xml:space="preserve"> intervenções isoladas de estilo de vida. A semaglutida, sobretudo em adolescentes com 12 </w:t>
      </w:r>
      <w:proofErr w:type="gramStart"/>
      <w:r w:rsidRPr="00546627">
        <w:rPr>
          <w:color w:val="1A1A1A"/>
          <w:sz w:val="22"/>
        </w:rPr>
        <w:t>a</w:t>
      </w:r>
      <w:proofErr w:type="gramEnd"/>
      <w:r w:rsidRPr="00546627">
        <w:rPr>
          <w:color w:val="1A1A1A"/>
          <w:sz w:val="22"/>
        </w:rPr>
        <w:t xml:space="preserve"> 18 anos, mostrou redução média de 16% do IMC após 68 semanas de tratamento, além de maior proporção de perdas de peso e melhora de marcadores cardiometabólicos e da qualidade de vida. Já a liraglutida mostrou reduções do IMC entre 4% e 6% após 56 semanas, além de melhorias na composição corporal e em parâmetros metabólicos, especialmente em indivíduos com resistência insulínica. Os eventos adversos foram sobretudo gastrointestinais (náusea, vômito e diarreia), sendo esses eventos o principal motivo de descontinuação no grupo da semaglutida. Indiretamente, a semaglutida apresentou maior magnitude de perda de peso. </w:t>
      </w:r>
      <w:r w:rsidRPr="00546627">
        <w:rPr>
          <w:b/>
          <w:color w:val="1A1A1A"/>
          <w:sz w:val="22"/>
        </w:rPr>
        <w:t>Conclusão:</w:t>
      </w:r>
      <w:r w:rsidRPr="00546627">
        <w:rPr>
          <w:color w:val="1A1A1A"/>
          <w:sz w:val="22"/>
        </w:rPr>
        <w:t xml:space="preserve"> Os agonistas do receptor de GLP-1 são eficazes e seguros na redução do IMC em crianças e adolescentes com obesidade, com evidências sugerindo maior perda de peso com semaglutida em relação à liraglutida. Todavia, </w:t>
      </w:r>
      <w:proofErr w:type="gramStart"/>
      <w:r w:rsidRPr="00546627">
        <w:rPr>
          <w:color w:val="1A1A1A"/>
          <w:sz w:val="22"/>
        </w:rPr>
        <w:t>a</w:t>
      </w:r>
      <w:proofErr w:type="gramEnd"/>
      <w:r w:rsidRPr="00546627">
        <w:rPr>
          <w:color w:val="1A1A1A"/>
          <w:sz w:val="22"/>
        </w:rPr>
        <w:t xml:space="preserve"> ausência de comparações diretas entre as drogas limita a interpretação dos resultados, indicando necessidade de novos estudos.</w:t>
      </w:r>
    </w:p>
    <w:p w:rsidR="000B5910" w:rsidRDefault="000B5910">
      <w:pPr>
        <w:pBdr>
          <w:bottom w:val="single" w:sz="4" w:space="2" w:color="808080"/>
        </w:pBdr>
        <w:spacing w:before="16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Centro Universitário São Camilo</w:t>
      </w:r>
    </w:p>
    <w:p w:rsidR="000B5910" w:rsidRDefault="000B5910">
      <w:pPr>
        <w:sectPr w:rsidR="000B5910">
          <w:headerReference w:type="default" r:id="rId203"/>
          <w:footerReference w:type="default" r:id="rId20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DIAGNÓSTICO PRECOCE E MANEJO ENDÓCRINO NA SÍNDROME DE PRADER-WILLI: RELATO DE TRÊS CASOS PEDIÁTRICOS</w:t>
      </w:r>
    </w:p>
    <w:p w:rsidR="000B5910" w:rsidRPr="00546627" w:rsidRDefault="00057F5C">
      <w:pPr>
        <w:spacing w:after="40" w:line="252" w:lineRule="auto"/>
        <w:jc w:val="right"/>
        <w:rPr>
          <w:szCs w:val="21"/>
        </w:rPr>
      </w:pPr>
      <w:r w:rsidRPr="00546627">
        <w:rPr>
          <w:color w:val="1A1A1A"/>
          <w:szCs w:val="21"/>
        </w:rPr>
        <w:t>Jayana Teixeira Maciel</w:t>
      </w:r>
      <w:r w:rsidRPr="00546627">
        <w:rPr>
          <w:color w:val="1A1A1A"/>
          <w:szCs w:val="21"/>
          <w:vertAlign w:val="superscript"/>
        </w:rPr>
        <w:t>1</w:t>
      </w:r>
      <w:r w:rsidRPr="00546627">
        <w:rPr>
          <w:szCs w:val="21"/>
        </w:rPr>
        <w:br/>
      </w:r>
      <w:r w:rsidRPr="00546627">
        <w:rPr>
          <w:color w:val="1A1A1A"/>
          <w:szCs w:val="21"/>
        </w:rPr>
        <w:t>Rafaela Zell</w:t>
      </w:r>
      <w:r w:rsidRPr="00546627">
        <w:rPr>
          <w:color w:val="1A1A1A"/>
          <w:szCs w:val="21"/>
          <w:vertAlign w:val="superscript"/>
        </w:rPr>
        <w:t>1</w:t>
      </w:r>
      <w:r w:rsidRPr="00546627">
        <w:rPr>
          <w:szCs w:val="21"/>
        </w:rPr>
        <w:br/>
      </w:r>
      <w:r w:rsidRPr="00546627">
        <w:rPr>
          <w:color w:val="1A1A1A"/>
          <w:szCs w:val="21"/>
        </w:rPr>
        <w:t>Laise Pauletti Barp</w:t>
      </w:r>
      <w:r w:rsidRPr="00546627">
        <w:rPr>
          <w:color w:val="1A1A1A"/>
          <w:szCs w:val="21"/>
          <w:vertAlign w:val="superscript"/>
        </w:rPr>
        <w:t>1</w:t>
      </w:r>
      <w:r w:rsidRPr="00546627">
        <w:rPr>
          <w:szCs w:val="21"/>
        </w:rPr>
        <w:br/>
      </w:r>
      <w:r w:rsidRPr="00546627">
        <w:rPr>
          <w:color w:val="1A1A1A"/>
          <w:szCs w:val="21"/>
        </w:rPr>
        <w:t>Marina Frosi Amaral</w:t>
      </w:r>
      <w:r w:rsidRPr="00546627">
        <w:rPr>
          <w:color w:val="1A1A1A"/>
          <w:szCs w:val="21"/>
          <w:vertAlign w:val="superscript"/>
        </w:rPr>
        <w:t>1</w:t>
      </w:r>
      <w:r w:rsidRPr="00546627">
        <w:rPr>
          <w:szCs w:val="21"/>
        </w:rPr>
        <w:br/>
      </w:r>
      <w:r w:rsidRPr="00546627">
        <w:rPr>
          <w:color w:val="1A1A1A"/>
          <w:szCs w:val="21"/>
        </w:rPr>
        <w:t>Gabriella Zanin Fighera</w:t>
      </w:r>
      <w:r w:rsidRPr="00546627">
        <w:rPr>
          <w:color w:val="1A1A1A"/>
          <w:szCs w:val="21"/>
          <w:vertAlign w:val="superscript"/>
        </w:rPr>
        <w:t>1</w:t>
      </w:r>
      <w:r w:rsidRPr="00546627">
        <w:rPr>
          <w:szCs w:val="21"/>
        </w:rPr>
        <w:br/>
      </w:r>
      <w:r w:rsidRPr="00546627">
        <w:rPr>
          <w:color w:val="1A1A1A"/>
          <w:szCs w:val="21"/>
        </w:rPr>
        <w:t>Laura Delai</w:t>
      </w:r>
      <w:r w:rsidRPr="00546627">
        <w:rPr>
          <w:color w:val="1A1A1A"/>
          <w:szCs w:val="21"/>
          <w:vertAlign w:val="superscript"/>
        </w:rPr>
        <w:t>1</w:t>
      </w:r>
      <w:r w:rsidRPr="00546627">
        <w:rPr>
          <w:szCs w:val="21"/>
        </w:rPr>
        <w:br/>
      </w:r>
      <w:r w:rsidRPr="00546627">
        <w:rPr>
          <w:color w:val="1A1A1A"/>
          <w:szCs w:val="21"/>
        </w:rPr>
        <w:t>Monique Sartori Broch</w:t>
      </w:r>
      <w:r w:rsidRPr="00546627">
        <w:rPr>
          <w:color w:val="1A1A1A"/>
          <w:szCs w:val="21"/>
          <w:vertAlign w:val="superscript"/>
        </w:rPr>
        <w:t>1</w:t>
      </w:r>
      <w:r w:rsidRPr="00546627">
        <w:rPr>
          <w:szCs w:val="21"/>
        </w:rPr>
        <w:br/>
      </w:r>
      <w:r w:rsidRPr="00546627">
        <w:rPr>
          <w:color w:val="1A1A1A"/>
          <w:szCs w:val="21"/>
        </w:rPr>
        <w:t>Isadora Ferrari</w:t>
      </w:r>
      <w:r w:rsidRPr="00546627">
        <w:rPr>
          <w:color w:val="1A1A1A"/>
          <w:szCs w:val="21"/>
          <w:vertAlign w:val="superscript"/>
        </w:rPr>
        <w:t>1</w:t>
      </w:r>
      <w:r w:rsidRPr="00546627">
        <w:rPr>
          <w:szCs w:val="21"/>
        </w:rPr>
        <w:br/>
      </w:r>
      <w:r w:rsidRPr="00546627">
        <w:rPr>
          <w:color w:val="1A1A1A"/>
          <w:szCs w:val="21"/>
        </w:rPr>
        <w:t>João Pedro Vargas Zolet</w:t>
      </w:r>
      <w:r w:rsidRPr="00546627">
        <w:rPr>
          <w:color w:val="1A1A1A"/>
          <w:szCs w:val="21"/>
          <w:vertAlign w:val="superscript"/>
        </w:rPr>
        <w:t>1</w:t>
      </w:r>
      <w:r w:rsidRPr="00546627">
        <w:rPr>
          <w:szCs w:val="21"/>
        </w:rPr>
        <w:br/>
      </w:r>
      <w:r w:rsidRPr="00546627">
        <w:rPr>
          <w:color w:val="1A1A1A"/>
          <w:szCs w:val="21"/>
        </w:rPr>
        <w:t>Laura Taicher Corrêa da Silva</w:t>
      </w:r>
      <w:r w:rsidRPr="00546627">
        <w:rPr>
          <w:color w:val="1A1A1A"/>
          <w:szCs w:val="21"/>
          <w:vertAlign w:val="superscript"/>
        </w:rPr>
        <w:t>1</w:t>
      </w:r>
      <w:r w:rsidRPr="00546627">
        <w:rPr>
          <w:szCs w:val="21"/>
        </w:rPr>
        <w:br/>
      </w:r>
      <w:r w:rsidRPr="00546627">
        <w:rPr>
          <w:color w:val="1A1A1A"/>
          <w:szCs w:val="21"/>
        </w:rPr>
        <w:t>Liana Capelo Costa</w:t>
      </w:r>
      <w:r w:rsidRPr="00546627">
        <w:rPr>
          <w:color w:val="1A1A1A"/>
          <w:szCs w:val="21"/>
          <w:vertAlign w:val="superscript"/>
        </w:rPr>
        <w:t>1</w:t>
      </w:r>
      <w:r w:rsidRPr="00546627">
        <w:rPr>
          <w:szCs w:val="21"/>
        </w:rPr>
        <w:br/>
      </w:r>
      <w:r w:rsidRPr="00546627">
        <w:rPr>
          <w:color w:val="1A1A1A"/>
          <w:szCs w:val="21"/>
        </w:rPr>
        <w:t>Bibiana Mello de Oliveira</w:t>
      </w:r>
      <w:r w:rsidRPr="00546627">
        <w:rPr>
          <w:color w:val="1A1A1A"/>
          <w:szCs w:val="21"/>
          <w:vertAlign w:val="superscript"/>
        </w:rPr>
        <w:t>2</w:t>
      </w:r>
    </w:p>
    <w:p w:rsidR="000B5910" w:rsidRDefault="00057F5C">
      <w:pPr>
        <w:spacing w:before="200" w:after="100"/>
      </w:pPr>
      <w:r>
        <w:rPr>
          <w:b/>
          <w:color w:val="1A1A1A"/>
          <w:sz w:val="22"/>
          <w:szCs w:val="24"/>
        </w:rPr>
        <w:t>RESUMO</w:t>
      </w:r>
    </w:p>
    <w:p w:rsidR="000B5910" w:rsidRPr="00546627" w:rsidRDefault="00057F5C" w:rsidP="00546627">
      <w:pPr>
        <w:spacing w:after="80" w:line="240" w:lineRule="auto"/>
        <w:jc w:val="both"/>
        <w:rPr>
          <w:sz w:val="22"/>
        </w:rPr>
      </w:pPr>
      <w:r w:rsidRPr="00546627">
        <w:rPr>
          <w:b/>
          <w:color w:val="1A1A1A"/>
          <w:sz w:val="22"/>
        </w:rPr>
        <w:t>Introdução</w:t>
      </w:r>
      <w:r w:rsidRPr="00546627">
        <w:rPr>
          <w:color w:val="1A1A1A"/>
          <w:sz w:val="22"/>
        </w:rPr>
        <w:t xml:space="preserve">: A Síndrome de Prader-Willi (SPW) resulta de alterações da expressão da região 15q11.2-q13. Manifesta-se por hipotonia grave, sucção fraca e dificuldade alimentar no período neonatal, evoluindo para hiperfagia e obesidade, associados </w:t>
      </w:r>
      <w:proofErr w:type="gramStart"/>
      <w:r w:rsidRPr="00546627">
        <w:rPr>
          <w:color w:val="1A1A1A"/>
          <w:sz w:val="22"/>
        </w:rPr>
        <w:t>a</w:t>
      </w:r>
      <w:proofErr w:type="gramEnd"/>
      <w:r w:rsidRPr="00546627">
        <w:rPr>
          <w:color w:val="1A1A1A"/>
          <w:sz w:val="22"/>
        </w:rPr>
        <w:t xml:space="preserve"> atraso no desenvolvimento neuropsicomotor (ADNPM). </w:t>
      </w:r>
      <w:r w:rsidRPr="00546627">
        <w:rPr>
          <w:b/>
          <w:color w:val="1A1A1A"/>
          <w:sz w:val="22"/>
        </w:rPr>
        <w:t>Objetivo:</w:t>
      </w:r>
      <w:r w:rsidRPr="00546627">
        <w:rPr>
          <w:color w:val="1A1A1A"/>
          <w:sz w:val="22"/>
        </w:rPr>
        <w:t xml:space="preserve"> Apresentar três casos de SPW com ênfase em alterações endocrinológicas na primeira infância. </w:t>
      </w:r>
      <w:r w:rsidRPr="00546627">
        <w:rPr>
          <w:b/>
          <w:color w:val="1A1A1A"/>
          <w:sz w:val="22"/>
        </w:rPr>
        <w:t xml:space="preserve">Métodos: </w:t>
      </w:r>
      <w:r w:rsidRPr="00546627">
        <w:rPr>
          <w:color w:val="1A1A1A"/>
          <w:sz w:val="22"/>
        </w:rPr>
        <w:t xml:space="preserve">Estudo descritivo retrospectivo transversal de três casos de SPW atendidos em ambulatório de genética médica em Porto Alegre e diagnosticados precocemente. </w:t>
      </w:r>
      <w:r w:rsidRPr="00546627">
        <w:rPr>
          <w:b/>
          <w:color w:val="1A1A1A"/>
          <w:sz w:val="22"/>
        </w:rPr>
        <w:t>Resultados:</w:t>
      </w:r>
      <w:r w:rsidRPr="00546627">
        <w:rPr>
          <w:color w:val="1A1A1A"/>
          <w:sz w:val="22"/>
        </w:rPr>
        <w:t xml:space="preserve"> CASO 1: Paciente feminina, dois meses, encaminhada por hipotonia, hiporreflexia, hipoatividade, dismorfias e ADNPM. Permaneceu 37 dias em UTI por sucção débil, hipoglicemia e hipomobilidade. Ao exame físico, hipotonia global de predomínio axial, hiporreflexia, olhos amendoados, hiperpilificação em fronte e fosseta sacral. Diagnóstico confirmado por MLPA sensível a metilação, com padrão de metilação em 15q11.2 compatível com SPW. CASO 2: Paciente masculino, dois meses, encaminhado por hipotonia, hiporreflexia e hipoatividade, dismorfias e ADNPM. Permaneceu em UTI por 16 dias por disfagia e sucção débil, em uso de sonda nasoenteral. Ao exame físico, hemangioma occipital, fosseta sacral com hiperpilificação, palato estreito e alto e hiperreflexia em membros inferiores. Array evidenciou deleção de 5.7mb em 15q11.2-q13.1, compatível com SPW. CASO 3: Paciente masculino, três anos, encaminhado por hipotonia neonatal grave e disfunção de deglutição. Permaneceu internado por 50 dias, recebeu alta em uso de sonda nasoentérica por distúrbio de deglutição e engasgos. Ao exame físico, orelhas proeminentes, apagamento de sulcos e filtros, sequência de Pierre-Robin e hipotonia global. Diagnóstico estabelecido por estudo de metilação, com análise de microssatélites sugestiva de heterossomia uniparental. Todos iniciaram tratamento com GH, acompanhamento nutricional e fisioterapia no primeiro semestre de vida, com boa resposta.</w:t>
      </w:r>
      <w:r w:rsidRPr="00546627">
        <w:rPr>
          <w:b/>
          <w:color w:val="1A1A1A"/>
          <w:sz w:val="22"/>
        </w:rPr>
        <w:t xml:space="preserve"> Conclusão:</w:t>
      </w:r>
      <w:r w:rsidRPr="00546627">
        <w:rPr>
          <w:color w:val="1A1A1A"/>
          <w:sz w:val="22"/>
        </w:rPr>
        <w:t xml:space="preserve"> Reforça-se </w:t>
      </w:r>
      <w:proofErr w:type="gramStart"/>
      <w:r w:rsidRPr="00546627">
        <w:rPr>
          <w:color w:val="1A1A1A"/>
          <w:sz w:val="22"/>
        </w:rPr>
        <w:t>a</w:t>
      </w:r>
      <w:proofErr w:type="gramEnd"/>
      <w:r w:rsidRPr="00546627">
        <w:rPr>
          <w:color w:val="1A1A1A"/>
          <w:sz w:val="22"/>
        </w:rPr>
        <w:t xml:space="preserve"> importância do diagnóstico precoce da SPW, com intervenções terapêuticas oportunas. </w:t>
      </w:r>
      <w:proofErr w:type="gramStart"/>
      <w:r w:rsidRPr="00546627">
        <w:rPr>
          <w:color w:val="1A1A1A"/>
          <w:sz w:val="22"/>
        </w:rPr>
        <w:t>A</w:t>
      </w:r>
      <w:proofErr w:type="gramEnd"/>
      <w:r w:rsidRPr="00546627">
        <w:rPr>
          <w:color w:val="1A1A1A"/>
          <w:sz w:val="22"/>
        </w:rPr>
        <w:t xml:space="preserve"> introdução do GH, idealmente nos primeiros meses de vida, promove benefícios no crescimento, composição corporal, desenvolvimento motor e cognitivo. O manejo multidisciplinar, com suporte nutricional, fonoaudiológico, fisioterápico e aconselhamento genético, aliado ao tratamento hormonal precoce, é essencial para otimizar o prognóstico e reduzir as complicações.</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Luterana do Brasil (ULBRA</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Santa Casa da Misericórdia de Porto Alegre</w:t>
      </w:r>
    </w:p>
    <w:p w:rsidR="000B5910" w:rsidRDefault="000B5910">
      <w:pPr>
        <w:sectPr w:rsidR="000B5910">
          <w:headerReference w:type="default" r:id="rId205"/>
          <w:footerReference w:type="default" r:id="rId20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SÍNDROME DE PRADER-WILLI NO BRASIL: UMA ANÁLISE CLÍNICA E EPIDEMIOLÓGICA DA REDE NACIONAL DE DOENÇAS RARAS</w:t>
      </w:r>
    </w:p>
    <w:p w:rsidR="000B5910" w:rsidRPr="00546627" w:rsidRDefault="00057F5C">
      <w:pPr>
        <w:spacing w:after="40" w:line="252" w:lineRule="auto"/>
        <w:jc w:val="right"/>
        <w:rPr>
          <w:szCs w:val="21"/>
        </w:rPr>
      </w:pPr>
      <w:r w:rsidRPr="00546627">
        <w:rPr>
          <w:color w:val="1A1A1A"/>
          <w:szCs w:val="21"/>
        </w:rPr>
        <w:t>Laise Pauletti Barp</w:t>
      </w:r>
      <w:r w:rsidRPr="00546627">
        <w:rPr>
          <w:color w:val="1A1A1A"/>
          <w:szCs w:val="21"/>
          <w:vertAlign w:val="superscript"/>
        </w:rPr>
        <w:t>1</w:t>
      </w:r>
      <w:r w:rsidRPr="00546627">
        <w:rPr>
          <w:szCs w:val="21"/>
        </w:rPr>
        <w:br/>
      </w:r>
      <w:r w:rsidRPr="00546627">
        <w:rPr>
          <w:color w:val="1A1A1A"/>
          <w:szCs w:val="21"/>
        </w:rPr>
        <w:t>Monique Sartori Broch</w:t>
      </w:r>
      <w:r w:rsidRPr="00546627">
        <w:rPr>
          <w:color w:val="1A1A1A"/>
          <w:szCs w:val="21"/>
          <w:vertAlign w:val="superscript"/>
        </w:rPr>
        <w:t>1</w:t>
      </w:r>
      <w:r w:rsidRPr="00546627">
        <w:rPr>
          <w:szCs w:val="21"/>
        </w:rPr>
        <w:br/>
      </w:r>
      <w:r w:rsidRPr="00546627">
        <w:rPr>
          <w:color w:val="1A1A1A"/>
          <w:szCs w:val="21"/>
        </w:rPr>
        <w:t>Angélica Piovesana</w:t>
      </w:r>
      <w:r w:rsidRPr="00546627">
        <w:rPr>
          <w:color w:val="1A1A1A"/>
          <w:szCs w:val="21"/>
          <w:vertAlign w:val="superscript"/>
        </w:rPr>
        <w:t>1</w:t>
      </w:r>
      <w:r w:rsidRPr="00546627">
        <w:rPr>
          <w:szCs w:val="21"/>
        </w:rPr>
        <w:br/>
      </w:r>
      <w:r w:rsidRPr="00546627">
        <w:rPr>
          <w:color w:val="1A1A1A"/>
          <w:szCs w:val="21"/>
        </w:rPr>
        <w:t>Carolina Peçaibes</w:t>
      </w:r>
      <w:r w:rsidRPr="00546627">
        <w:rPr>
          <w:color w:val="1A1A1A"/>
          <w:szCs w:val="21"/>
          <w:vertAlign w:val="superscript"/>
        </w:rPr>
        <w:t>1</w:t>
      </w:r>
      <w:r w:rsidRPr="00546627">
        <w:rPr>
          <w:szCs w:val="21"/>
        </w:rPr>
        <w:br/>
      </w:r>
      <w:r w:rsidRPr="00546627">
        <w:rPr>
          <w:color w:val="1A1A1A"/>
          <w:szCs w:val="21"/>
        </w:rPr>
        <w:t>Gabriella Zanin</w:t>
      </w:r>
      <w:r w:rsidRPr="00546627">
        <w:rPr>
          <w:color w:val="1A1A1A"/>
          <w:szCs w:val="21"/>
          <w:vertAlign w:val="superscript"/>
        </w:rPr>
        <w:t>1</w:t>
      </w:r>
      <w:r w:rsidRPr="00546627">
        <w:rPr>
          <w:szCs w:val="21"/>
        </w:rPr>
        <w:br/>
      </w:r>
      <w:r w:rsidRPr="00546627">
        <w:rPr>
          <w:color w:val="1A1A1A"/>
          <w:szCs w:val="21"/>
        </w:rPr>
        <w:t>Amanda Isasmendi Stein</w:t>
      </w:r>
      <w:r w:rsidRPr="00546627">
        <w:rPr>
          <w:color w:val="1A1A1A"/>
          <w:szCs w:val="21"/>
          <w:vertAlign w:val="superscript"/>
        </w:rPr>
        <w:t>1</w:t>
      </w:r>
      <w:r w:rsidRPr="00546627">
        <w:rPr>
          <w:szCs w:val="21"/>
        </w:rPr>
        <w:br/>
      </w:r>
      <w:r w:rsidRPr="00546627">
        <w:rPr>
          <w:color w:val="1A1A1A"/>
          <w:szCs w:val="21"/>
        </w:rPr>
        <w:t>Isadora Viegas</w:t>
      </w:r>
      <w:r w:rsidRPr="00546627">
        <w:rPr>
          <w:color w:val="1A1A1A"/>
          <w:szCs w:val="21"/>
          <w:vertAlign w:val="superscript"/>
        </w:rPr>
        <w:t>1</w:t>
      </w:r>
      <w:r w:rsidRPr="00546627">
        <w:rPr>
          <w:szCs w:val="21"/>
        </w:rPr>
        <w:br/>
      </w:r>
      <w:r w:rsidRPr="00546627">
        <w:rPr>
          <w:color w:val="1A1A1A"/>
          <w:szCs w:val="21"/>
        </w:rPr>
        <w:t>Cláudia Fernandes Lorea</w:t>
      </w:r>
      <w:r w:rsidRPr="00546627">
        <w:rPr>
          <w:color w:val="1A1A1A"/>
          <w:szCs w:val="21"/>
          <w:vertAlign w:val="superscript"/>
        </w:rPr>
        <w:t>1</w:t>
      </w:r>
      <w:r w:rsidRPr="00546627">
        <w:rPr>
          <w:szCs w:val="21"/>
        </w:rPr>
        <w:br/>
      </w:r>
      <w:r w:rsidRPr="00546627">
        <w:rPr>
          <w:color w:val="1A1A1A"/>
          <w:szCs w:val="21"/>
        </w:rPr>
        <w:t>Bibiana Mello de Oliveira</w:t>
      </w:r>
      <w:r w:rsidRPr="00546627">
        <w:rPr>
          <w:color w:val="1A1A1A"/>
          <w:szCs w:val="21"/>
          <w:vertAlign w:val="superscript"/>
        </w:rPr>
        <w:t>1</w:t>
      </w:r>
      <w:r w:rsidRPr="00546627">
        <w:rPr>
          <w:szCs w:val="21"/>
        </w:rPr>
        <w:br/>
      </w:r>
      <w:r w:rsidRPr="00546627">
        <w:rPr>
          <w:color w:val="1A1A1A"/>
          <w:szCs w:val="21"/>
        </w:rPr>
        <w:t>Têmis Maria Félix</w:t>
      </w:r>
      <w:r w:rsidRPr="00546627">
        <w:rPr>
          <w:color w:val="1A1A1A"/>
          <w:szCs w:val="21"/>
          <w:vertAlign w:val="superscript"/>
        </w:rPr>
        <w:t>1</w:t>
      </w:r>
      <w:r w:rsidRPr="00546627">
        <w:rPr>
          <w:szCs w:val="21"/>
        </w:rPr>
        <w:br/>
      </w:r>
      <w:r w:rsidRPr="00546627">
        <w:rPr>
          <w:color w:val="1A1A1A"/>
          <w:szCs w:val="21"/>
        </w:rPr>
        <w:t>Raras Network Group</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rPr>
      </w:pPr>
      <w:r w:rsidRPr="00546627">
        <w:rPr>
          <w:b/>
          <w:color w:val="1A1A1A"/>
          <w:sz w:val="22"/>
        </w:rPr>
        <w:t>Introdução:</w:t>
      </w:r>
      <w:r w:rsidRPr="00546627">
        <w:rPr>
          <w:color w:val="1A1A1A"/>
          <w:sz w:val="22"/>
        </w:rPr>
        <w:t xml:space="preserve"> A síndrome de Prader-Willi (SPW) é uma condição genética rara, causada pela ausência de expressão de genes paternos na região 15q11-13, afetando uma a cada 30 mil nascidos vivos. A SPW causa baixa estatura, hipotonia, problemas comportamentais, de aprendizagem e obesidade. Está indicado o uso precoce de somatropina. </w:t>
      </w:r>
      <w:r w:rsidRPr="00546627">
        <w:rPr>
          <w:b/>
          <w:color w:val="1A1A1A"/>
          <w:sz w:val="22"/>
        </w:rPr>
        <w:t xml:space="preserve">Objetivo: </w:t>
      </w:r>
      <w:r w:rsidRPr="00546627">
        <w:rPr>
          <w:color w:val="1A1A1A"/>
          <w:sz w:val="22"/>
        </w:rPr>
        <w:t xml:space="preserve">Analisar o perfil clínico-epidemiológico de indivíduos com diagnóstico confirmado de SPW, registrados na Rede Nacional de Doenças Raras (RARAS). </w:t>
      </w:r>
      <w:r w:rsidRPr="00546627">
        <w:rPr>
          <w:b/>
          <w:color w:val="1A1A1A"/>
          <w:sz w:val="22"/>
        </w:rPr>
        <w:t>Métodos:</w:t>
      </w:r>
      <w:r w:rsidRPr="00546627">
        <w:rPr>
          <w:color w:val="1A1A1A"/>
          <w:sz w:val="22"/>
        </w:rPr>
        <w:t xml:space="preserve"> Dados das etapas retrospectiva (2018-2019) e prospectiva (2022 a Fevereiro de 2026) do inquérito epidemiológico da RARAS, coletados por meio de um formulário padrão utilizando a plataforma RedCap. Foram incluídos indivíduos com SPW, registrados sob Orpha 739 ou OMIM 176270. </w:t>
      </w:r>
      <w:r w:rsidRPr="00546627">
        <w:rPr>
          <w:b/>
          <w:color w:val="1A1A1A"/>
          <w:sz w:val="22"/>
        </w:rPr>
        <w:t>Resultados:</w:t>
      </w:r>
      <w:r w:rsidRPr="00546627">
        <w:rPr>
          <w:color w:val="1A1A1A"/>
          <w:sz w:val="22"/>
        </w:rPr>
        <w:t xml:space="preserve"> Dentre 20.948 registros, 67 (0,32%) participantes tinham SPW confirmada, sendo 31 (46,27%) do sexo masculino e 40 (59,70%) autodeclarados brancos. A maioria 57 (85,07%) teve acesso ao diagnóstico etiológico, com tempo médio de 3,57 (± 4,79) anos entre o início dos sintomas e o diagnóstico. A média de idade foi de 4,31 anos (± 5,07) ao diagnóstico e 9,28 anos (± 7,56) na coleta de dados. Da amostra, 32,84% nasceram na região nordeste, 25,37% no sudeste e 20,90% no sul. A maioria dos casos não possuía recorrência familiar (94,03%). Os HPOs registrados com maior frequência foram hipotonia (47,76%), atraso global do desenvolvimento (25,37%), obesidade (19,40%), baixa estatura (10,44%) e polifagia (10,44%). A principal fonte pagadora dos exames diagnósticos foi o SUS (47,76%). Em relação ao tratamento, 40 (59,7%) utilizavam tratamento medicamentoso, com prevalência de somatotropina e metformina. Onze (16,4%) indivíduos realizavam tratamento dietético. </w:t>
      </w:r>
      <w:r w:rsidRPr="00546627">
        <w:rPr>
          <w:b/>
          <w:color w:val="1A1A1A"/>
          <w:sz w:val="22"/>
        </w:rPr>
        <w:t>Conclusão:</w:t>
      </w:r>
      <w:r w:rsidRPr="00546627">
        <w:rPr>
          <w:color w:val="1A1A1A"/>
          <w:sz w:val="22"/>
        </w:rPr>
        <w:t xml:space="preserve"> Evidencia-se um atraso significativo entre o início dos sintomas e o diagnóstico da SPW. Diversas manifestações clínicas relevantes foram observadas, como hipotonia e atraso do desenvolvimento, condizentes com a literatura. A baixa frequência de obesidade na amostra, inferior aos achados na literatura médica, pode estar relacionada à metodologia adotada, que considerou apenas os cinco principais termos HPO registrados por participante, além de possível sub-registro fenotípico em alguns centros. Esses achados ressaltam </w:t>
      </w:r>
      <w:proofErr w:type="gramStart"/>
      <w:r w:rsidRPr="00546627">
        <w:rPr>
          <w:color w:val="1A1A1A"/>
          <w:sz w:val="22"/>
        </w:rPr>
        <w:t>a</w:t>
      </w:r>
      <w:proofErr w:type="gramEnd"/>
      <w:r w:rsidRPr="00546627">
        <w:rPr>
          <w:color w:val="1A1A1A"/>
          <w:sz w:val="22"/>
        </w:rPr>
        <w:t xml:space="preserve"> importância do reconhecimento e diagnóstico precoces, fundamentais para implementação adequada das intervenções terapêuticas.</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Hospital de Clínicas de Porto Alegre (HCPA</w:t>
      </w:r>
    </w:p>
    <w:p w:rsidR="000B5910" w:rsidRDefault="000B5910">
      <w:pPr>
        <w:sectPr w:rsidR="000B5910">
          <w:headerReference w:type="default" r:id="rId207"/>
          <w:footerReference w:type="default" r:id="rId20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BAIXA ESTATURA COMO PISTA DIAGNÓSTICA EM DOENÇAS RARAS: ANÁLISE DA REDE NACIONAL DE DOENÇAS RARAS</w:t>
      </w:r>
    </w:p>
    <w:p w:rsidR="000B5910" w:rsidRPr="00546627" w:rsidRDefault="00057F5C">
      <w:pPr>
        <w:spacing w:after="40" w:line="252" w:lineRule="auto"/>
        <w:jc w:val="right"/>
        <w:rPr>
          <w:szCs w:val="21"/>
        </w:rPr>
      </w:pPr>
      <w:r w:rsidRPr="00546627">
        <w:rPr>
          <w:color w:val="1A1A1A"/>
          <w:szCs w:val="21"/>
        </w:rPr>
        <w:t>Laise Pauletti Barp</w:t>
      </w:r>
      <w:r w:rsidRPr="00546627">
        <w:rPr>
          <w:color w:val="1A1A1A"/>
          <w:szCs w:val="21"/>
          <w:vertAlign w:val="superscript"/>
        </w:rPr>
        <w:t>1</w:t>
      </w:r>
      <w:r w:rsidRPr="00546627">
        <w:rPr>
          <w:szCs w:val="21"/>
        </w:rPr>
        <w:br/>
      </w:r>
      <w:r w:rsidRPr="00546627">
        <w:rPr>
          <w:color w:val="1A1A1A"/>
          <w:szCs w:val="21"/>
        </w:rPr>
        <w:t>Monique Sartori Broch</w:t>
      </w:r>
      <w:r w:rsidRPr="00546627">
        <w:rPr>
          <w:color w:val="1A1A1A"/>
          <w:szCs w:val="21"/>
          <w:vertAlign w:val="superscript"/>
        </w:rPr>
        <w:t>1</w:t>
      </w:r>
      <w:r w:rsidRPr="00546627">
        <w:rPr>
          <w:szCs w:val="21"/>
        </w:rPr>
        <w:br/>
      </w:r>
      <w:r w:rsidRPr="00546627">
        <w:rPr>
          <w:color w:val="1A1A1A"/>
          <w:szCs w:val="21"/>
        </w:rPr>
        <w:t>Carolina Peçaibes</w:t>
      </w:r>
      <w:r w:rsidRPr="00546627">
        <w:rPr>
          <w:color w:val="1A1A1A"/>
          <w:szCs w:val="21"/>
          <w:vertAlign w:val="superscript"/>
        </w:rPr>
        <w:t>1</w:t>
      </w:r>
      <w:r w:rsidRPr="00546627">
        <w:rPr>
          <w:szCs w:val="21"/>
        </w:rPr>
        <w:br/>
      </w:r>
      <w:r w:rsidRPr="00546627">
        <w:rPr>
          <w:color w:val="1A1A1A"/>
          <w:szCs w:val="21"/>
        </w:rPr>
        <w:t>Angélica Piovesana</w:t>
      </w:r>
      <w:r w:rsidRPr="00546627">
        <w:rPr>
          <w:color w:val="1A1A1A"/>
          <w:szCs w:val="21"/>
          <w:vertAlign w:val="superscript"/>
        </w:rPr>
        <w:t>1</w:t>
      </w:r>
      <w:r w:rsidRPr="00546627">
        <w:rPr>
          <w:szCs w:val="21"/>
        </w:rPr>
        <w:br/>
      </w:r>
      <w:r w:rsidRPr="00546627">
        <w:rPr>
          <w:color w:val="1A1A1A"/>
          <w:szCs w:val="21"/>
        </w:rPr>
        <w:t>Gabriella Zanin</w:t>
      </w:r>
      <w:r w:rsidRPr="00546627">
        <w:rPr>
          <w:color w:val="1A1A1A"/>
          <w:szCs w:val="21"/>
          <w:vertAlign w:val="superscript"/>
        </w:rPr>
        <w:t>1</w:t>
      </w:r>
      <w:r w:rsidRPr="00546627">
        <w:rPr>
          <w:szCs w:val="21"/>
        </w:rPr>
        <w:br/>
      </w:r>
      <w:r w:rsidRPr="00546627">
        <w:rPr>
          <w:color w:val="1A1A1A"/>
          <w:szCs w:val="21"/>
        </w:rPr>
        <w:t>Isadora Viegas</w:t>
      </w:r>
      <w:r w:rsidRPr="00546627">
        <w:rPr>
          <w:color w:val="1A1A1A"/>
          <w:szCs w:val="21"/>
          <w:vertAlign w:val="superscript"/>
        </w:rPr>
        <w:t>1</w:t>
      </w:r>
      <w:r w:rsidRPr="00546627">
        <w:rPr>
          <w:szCs w:val="21"/>
        </w:rPr>
        <w:br/>
      </w:r>
      <w:r w:rsidRPr="00546627">
        <w:rPr>
          <w:color w:val="1A1A1A"/>
          <w:szCs w:val="21"/>
        </w:rPr>
        <w:t>Cláudia Fernandes Lorea</w:t>
      </w:r>
      <w:r w:rsidRPr="00546627">
        <w:rPr>
          <w:color w:val="1A1A1A"/>
          <w:szCs w:val="21"/>
          <w:vertAlign w:val="superscript"/>
        </w:rPr>
        <w:t>1</w:t>
      </w:r>
      <w:r w:rsidRPr="00546627">
        <w:rPr>
          <w:szCs w:val="21"/>
        </w:rPr>
        <w:br/>
      </w:r>
      <w:r w:rsidRPr="00546627">
        <w:rPr>
          <w:color w:val="1A1A1A"/>
          <w:szCs w:val="21"/>
        </w:rPr>
        <w:t>Bibiana Mello de Oliveira</w:t>
      </w:r>
      <w:r w:rsidRPr="00546627">
        <w:rPr>
          <w:color w:val="1A1A1A"/>
          <w:szCs w:val="21"/>
          <w:vertAlign w:val="superscript"/>
        </w:rPr>
        <w:t>1</w:t>
      </w:r>
      <w:r w:rsidRPr="00546627">
        <w:rPr>
          <w:szCs w:val="21"/>
        </w:rPr>
        <w:br/>
      </w:r>
      <w:r w:rsidRPr="00546627">
        <w:rPr>
          <w:color w:val="1A1A1A"/>
          <w:szCs w:val="21"/>
        </w:rPr>
        <w:t>Têmis Maria Félix</w:t>
      </w:r>
      <w:r w:rsidRPr="00546627">
        <w:rPr>
          <w:color w:val="1A1A1A"/>
          <w:szCs w:val="21"/>
          <w:vertAlign w:val="superscript"/>
        </w:rPr>
        <w:t>1</w:t>
      </w:r>
      <w:r w:rsidRPr="00546627">
        <w:rPr>
          <w:szCs w:val="21"/>
        </w:rPr>
        <w:br/>
      </w:r>
      <w:r w:rsidRPr="00546627">
        <w:rPr>
          <w:color w:val="1A1A1A"/>
          <w:szCs w:val="21"/>
        </w:rPr>
        <w:t>Raras Network Group</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rPr>
      </w:pPr>
      <w:r w:rsidRPr="00546627">
        <w:rPr>
          <w:b/>
          <w:color w:val="1A1A1A"/>
          <w:sz w:val="22"/>
        </w:rPr>
        <w:t xml:space="preserve">Introdução: </w:t>
      </w:r>
      <w:r w:rsidRPr="00546627">
        <w:rPr>
          <w:color w:val="1A1A1A"/>
          <w:sz w:val="22"/>
        </w:rPr>
        <w:t xml:space="preserve">A baixa estatura é um sinal clínico frequentemente avaliado na endocrinologia pediátrica, definido como altura inferior a −2 DP em relação à média para idade e sexo nas curvas de crescimento. É fenótipo central em diversas doenças raras e frequentemente a primeira manifestação clínica que motiva investigação diagnóstica. </w:t>
      </w:r>
      <w:r w:rsidRPr="00546627">
        <w:rPr>
          <w:b/>
          <w:color w:val="1A1A1A"/>
          <w:sz w:val="22"/>
        </w:rPr>
        <w:t xml:space="preserve">Métodos: </w:t>
      </w:r>
      <w:r w:rsidRPr="00546627">
        <w:rPr>
          <w:color w:val="1A1A1A"/>
          <w:sz w:val="22"/>
        </w:rPr>
        <w:t xml:space="preserve">Foram incluídos casos com fenótipo de baixa estatura definido pelo Human Phenotype Ontology (HP:0004322) registrado nas etapas retrospectiva (2018-2019) e prospectiva (2022 a fevereiro de 2026) do inquérito epidemiológico nacional da Rede Nacional de Doenças Raras. Os dados foram coletados na plataforma REDCap. </w:t>
      </w:r>
      <w:r w:rsidRPr="00546627">
        <w:rPr>
          <w:b/>
          <w:color w:val="1A1A1A"/>
          <w:sz w:val="22"/>
        </w:rPr>
        <w:t>Resultados:</w:t>
      </w:r>
      <w:r w:rsidRPr="00546627">
        <w:rPr>
          <w:color w:val="1A1A1A"/>
          <w:sz w:val="22"/>
        </w:rPr>
        <w:t xml:space="preserve"> Entre 20.948 registros, 1.284 (6,13%) apresentavam baixa estatura, sendo 742 (57,79%) do sexo masculino e 638 (49,69%) autodeclarados pardos. Quanto à distribuição geográfica, 525 (40,89%) nasceram na região Nordeste, 404 (31,46%) Sudeste e 145 (11,29%) Sul. A média de idade no momento da coleta foi de 15,79 (±11,46) anos. Do total, 781 (60,83%) apresentaram pelo menos um diagnóstico confirmado, 250 (19,47%) ao menos um diagnóstico suspeito e 253 (19,70%) estavam em investigação. Entre aqueles com diagnóstico confirmado, 580 (73,42%) tiveram diagnóstico etiológico e 194 (24,56%) diagnóstico clínico. Os diagnósticos confirmados mais prevalentes foram: síndrome de Turner (183), de Noonan (46) e acondroplasia (42). O tempo médio entre o início dos sintomas e diagnóstico foi de 7,06 (± 8,53) anos. Entre os diagnósticos confirmados, recorrência familiar foi relatada por 258 (33,03%) participantes, enquanto 121 (15,49%) apresentavam consanguinidade parental. </w:t>
      </w:r>
      <w:r w:rsidRPr="00546627">
        <w:rPr>
          <w:b/>
          <w:color w:val="1A1A1A"/>
          <w:sz w:val="22"/>
        </w:rPr>
        <w:t>Conclusão:</w:t>
      </w:r>
      <w:r w:rsidRPr="00546627">
        <w:rPr>
          <w:color w:val="1A1A1A"/>
          <w:sz w:val="22"/>
        </w:rPr>
        <w:t xml:space="preserve"> A baixa estatura foi identificada em parcela relevante do inquérito, associada </w:t>
      </w:r>
      <w:proofErr w:type="gramStart"/>
      <w:r w:rsidRPr="00546627">
        <w:rPr>
          <w:color w:val="1A1A1A"/>
          <w:sz w:val="22"/>
        </w:rPr>
        <w:t>a</w:t>
      </w:r>
      <w:proofErr w:type="gramEnd"/>
      <w:r w:rsidRPr="00546627">
        <w:rPr>
          <w:color w:val="1A1A1A"/>
          <w:sz w:val="22"/>
        </w:rPr>
        <w:t xml:space="preserve"> ampla heterogeneidade etiológica, em consonância com a literatura. O longo intervalo entre início dos sintomas e diagnóstico evidencia desafios no reconhecimento desse fenótipo e limitações no acesso ao diagnóstico molecular, contribuindo para </w:t>
      </w:r>
      <w:proofErr w:type="gramStart"/>
      <w:r w:rsidRPr="00546627">
        <w:rPr>
          <w:color w:val="1A1A1A"/>
          <w:sz w:val="22"/>
        </w:rPr>
        <w:t>a</w:t>
      </w:r>
      <w:proofErr w:type="gramEnd"/>
      <w:r w:rsidRPr="00546627">
        <w:rPr>
          <w:color w:val="1A1A1A"/>
          <w:sz w:val="22"/>
        </w:rPr>
        <w:t xml:space="preserve"> odisseia diagnóstica prolongada e perda de oportunidades terapêuticas. A maior frequência de recorrência familiar em relação à consanguinidade parental sugere contribuição de condições autossômicas dominantes. Esses achados reforçam </w:t>
      </w:r>
      <w:proofErr w:type="gramStart"/>
      <w:r w:rsidRPr="00546627">
        <w:rPr>
          <w:color w:val="1A1A1A"/>
          <w:sz w:val="22"/>
        </w:rPr>
        <w:t>a</w:t>
      </w:r>
      <w:proofErr w:type="gramEnd"/>
      <w:r w:rsidRPr="00546627">
        <w:rPr>
          <w:color w:val="1A1A1A"/>
          <w:sz w:val="22"/>
        </w:rPr>
        <w:t xml:space="preserve"> importância do rastreamento e investigação etiológica precoce da baixa estatura, especialmente no contexto de doenças raras, para reduzir atrasos diagnósticos e permitir intervenções oportunas.</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Hospital de Clínicas de Porto Alegre (HCPA</w:t>
      </w:r>
    </w:p>
    <w:p w:rsidR="000B5910" w:rsidRDefault="000B5910">
      <w:pPr>
        <w:sectPr w:rsidR="000B5910">
          <w:headerReference w:type="default" r:id="rId209"/>
          <w:footerReference w:type="default" r:id="rId210"/>
          <w:pgSz w:w="12240" w:h="15840"/>
          <w:pgMar w:top="1417" w:right="1417" w:bottom="1417" w:left="1417" w:header="680" w:footer="680" w:gutter="0"/>
          <w:cols w:space="720"/>
        </w:sectPr>
      </w:pPr>
    </w:p>
    <w:p w:rsidR="000B5910" w:rsidRDefault="00057F5C">
      <w:pPr>
        <w:spacing w:before="80" w:line="252" w:lineRule="auto"/>
        <w:jc w:val="center"/>
        <w:rPr>
          <w:spacing w:val="-11"/>
          <w:sz w:val="22"/>
          <w:szCs w:val="24"/>
        </w:rPr>
      </w:pPr>
      <w:r>
        <w:rPr>
          <w:b/>
          <w:color w:val="1A1A1A"/>
          <w:spacing w:val="-11"/>
          <w:sz w:val="28"/>
          <w:szCs w:val="24"/>
        </w:rPr>
        <w:lastRenderedPageBreak/>
        <w:t>MORTALIDADE POR HIPERPLASIA ADRENAL CONGÊNITA EM CRIANÇAS NO BRASIL: UMA ANÁLISE EPIDEMIOLÓGICA DE 2017 A 2024</w:t>
      </w:r>
    </w:p>
    <w:p w:rsidR="000B5910" w:rsidRPr="00546627" w:rsidRDefault="00057F5C">
      <w:pPr>
        <w:spacing w:after="40" w:line="252" w:lineRule="auto"/>
        <w:jc w:val="right"/>
        <w:rPr>
          <w:szCs w:val="21"/>
        </w:rPr>
      </w:pPr>
      <w:r w:rsidRPr="00546627">
        <w:rPr>
          <w:color w:val="1A1A1A"/>
          <w:szCs w:val="21"/>
        </w:rPr>
        <w:t>Natália Toebe Giudice da Costa</w:t>
      </w:r>
      <w:r w:rsidRPr="00546627">
        <w:rPr>
          <w:color w:val="1A1A1A"/>
          <w:szCs w:val="21"/>
          <w:vertAlign w:val="superscript"/>
        </w:rPr>
        <w:t>1</w:t>
      </w:r>
      <w:r w:rsidRPr="00546627">
        <w:rPr>
          <w:szCs w:val="21"/>
        </w:rPr>
        <w:br/>
      </w:r>
      <w:r w:rsidRPr="00546627">
        <w:rPr>
          <w:color w:val="1A1A1A"/>
          <w:szCs w:val="21"/>
        </w:rPr>
        <w:t>Camila Rafaela Lazaretti</w:t>
      </w:r>
      <w:r w:rsidRPr="00546627">
        <w:rPr>
          <w:color w:val="1A1A1A"/>
          <w:szCs w:val="21"/>
          <w:vertAlign w:val="superscript"/>
        </w:rPr>
        <w:t>2</w:t>
      </w:r>
      <w:r w:rsidRPr="00546627">
        <w:rPr>
          <w:szCs w:val="21"/>
        </w:rPr>
        <w:br/>
      </w:r>
      <w:r w:rsidRPr="00546627">
        <w:rPr>
          <w:color w:val="1A1A1A"/>
          <w:szCs w:val="21"/>
        </w:rPr>
        <w:t>Ilanna Pinheiro Campos</w:t>
      </w:r>
      <w:r w:rsidRPr="00546627">
        <w:rPr>
          <w:color w:val="1A1A1A"/>
          <w:szCs w:val="21"/>
          <w:vertAlign w:val="superscript"/>
        </w:rPr>
        <w:t>3</w:t>
      </w:r>
      <w:r w:rsidRPr="00546627">
        <w:rPr>
          <w:szCs w:val="21"/>
        </w:rPr>
        <w:br/>
      </w:r>
      <w:r w:rsidRPr="00546627">
        <w:rPr>
          <w:color w:val="1A1A1A"/>
          <w:szCs w:val="21"/>
        </w:rPr>
        <w:t>Eduardo Flach Klein</w:t>
      </w:r>
      <w:r w:rsidRPr="00546627">
        <w:rPr>
          <w:color w:val="1A1A1A"/>
          <w:szCs w:val="21"/>
          <w:vertAlign w:val="superscript"/>
        </w:rPr>
        <w:t>4</w:t>
      </w:r>
      <w:r w:rsidRPr="00546627">
        <w:rPr>
          <w:szCs w:val="21"/>
        </w:rPr>
        <w:br/>
      </w:r>
      <w:r w:rsidRPr="00546627">
        <w:rPr>
          <w:color w:val="1A1A1A"/>
          <w:szCs w:val="21"/>
        </w:rPr>
        <w:t>Gustavo Marques Bandeira</w:t>
      </w:r>
      <w:r w:rsidRPr="00546627">
        <w:rPr>
          <w:color w:val="1A1A1A"/>
          <w:szCs w:val="21"/>
          <w:vertAlign w:val="superscript"/>
        </w:rPr>
        <w:t>1</w:t>
      </w:r>
      <w:r w:rsidRPr="00546627">
        <w:rPr>
          <w:szCs w:val="21"/>
        </w:rPr>
        <w:br/>
      </w:r>
      <w:r w:rsidRPr="00546627">
        <w:rPr>
          <w:color w:val="1A1A1A"/>
          <w:szCs w:val="21"/>
        </w:rPr>
        <w:t>Claiane Vitória Teza</w:t>
      </w:r>
      <w:r w:rsidRPr="00546627">
        <w:rPr>
          <w:color w:val="1A1A1A"/>
          <w:szCs w:val="21"/>
          <w:vertAlign w:val="superscript"/>
        </w:rPr>
        <w:t>5</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szCs w:val="21"/>
        </w:rPr>
      </w:pPr>
      <w:r w:rsidRPr="00546627">
        <w:rPr>
          <w:b/>
          <w:color w:val="1A1A1A"/>
          <w:sz w:val="22"/>
          <w:szCs w:val="21"/>
        </w:rPr>
        <w:t>Introdução:</w:t>
      </w:r>
      <w:r w:rsidRPr="00546627">
        <w:rPr>
          <w:color w:val="1A1A1A"/>
          <w:sz w:val="22"/>
          <w:szCs w:val="21"/>
        </w:rPr>
        <w:t xml:space="preserve"> A hiperplasia adrenal congênita é um distúrbio autossômico recessivo decorrente de mutações no gene CYP21A2. Em cerca de 90% dos casos, a deficiência da enzima 21-hidroxilase compromete a síntese de cortisol e aldosterona, resultando em hipersecreção de hormônio adrenocorticotrófico e acúmulo de andrógenos. Na forma perdedora de sal, </w:t>
      </w:r>
      <w:proofErr w:type="gramStart"/>
      <w:r w:rsidRPr="00546627">
        <w:rPr>
          <w:color w:val="1A1A1A"/>
          <w:sz w:val="22"/>
          <w:szCs w:val="21"/>
        </w:rPr>
        <w:t>a</w:t>
      </w:r>
      <w:proofErr w:type="gramEnd"/>
      <w:r w:rsidRPr="00546627">
        <w:rPr>
          <w:color w:val="1A1A1A"/>
          <w:sz w:val="22"/>
          <w:szCs w:val="21"/>
        </w:rPr>
        <w:t xml:space="preserve"> incapacidade de reter eletrólitos provoca hiponatremia grave e pode evoluir para choque hipovolêmico entre o quinto e o décimo quarto dia de vida. Nesse contexto, a triagem neonatal, conhecida como teste do pezinho, torna-se determinante para prevenir desfechos fatais. </w:t>
      </w:r>
      <w:r w:rsidRPr="00546627">
        <w:rPr>
          <w:b/>
          <w:color w:val="1A1A1A"/>
          <w:sz w:val="22"/>
          <w:szCs w:val="21"/>
        </w:rPr>
        <w:t>Objetivo:</w:t>
      </w:r>
      <w:r w:rsidRPr="00546627">
        <w:rPr>
          <w:color w:val="1A1A1A"/>
          <w:sz w:val="22"/>
          <w:szCs w:val="21"/>
        </w:rPr>
        <w:t xml:space="preserve"> Analisar o perfil epidemiológico da mortalidade por hiperplasia adrenal congênita em crianças menores de cinco anos no Brasil entre 2017 e 2024, avaliando tendências temporais e regionais</w:t>
      </w:r>
      <w:r w:rsidRPr="00546627">
        <w:rPr>
          <w:b/>
          <w:color w:val="1A1A1A"/>
          <w:sz w:val="22"/>
          <w:szCs w:val="21"/>
        </w:rPr>
        <w:t>. Métodos:</w:t>
      </w:r>
      <w:r w:rsidRPr="00546627">
        <w:rPr>
          <w:color w:val="1A1A1A"/>
          <w:sz w:val="22"/>
          <w:szCs w:val="21"/>
        </w:rPr>
        <w:t xml:space="preserve"> Estudo transversal ecológico com dados secundários do Sistema de Informações sobre Mortalidade do DATASUS. Foram incluídos registros de óbito por hiperplasia adrenal congênita classificados pela categoria E25 da Classificação Internacional de Doenças entre 2017 e 2024. Os dados foram estratificados por regiões brasileiras e por faixas etárias: menores de um ano e de um a quatro anos. </w:t>
      </w:r>
      <w:r w:rsidRPr="00546627">
        <w:rPr>
          <w:b/>
          <w:color w:val="1A1A1A"/>
          <w:sz w:val="22"/>
          <w:szCs w:val="21"/>
        </w:rPr>
        <w:t>Resultados:</w:t>
      </w:r>
      <w:r w:rsidRPr="00546627">
        <w:rPr>
          <w:color w:val="1A1A1A"/>
          <w:sz w:val="22"/>
          <w:szCs w:val="21"/>
        </w:rPr>
        <w:t xml:space="preserve"> Foram registrados 44 óbitos por hiperplasia adrenal congênita em menores de cinco anos no período. Observou-se aumento dos registros a partir de 2021; esse ano e 2022 apresentaram o pico da série histórica, com 9 óbitos cada, representando aumento de 200% em relação a 2017, que registrou 3 casos. Regionalmente, o Nordeste concentrou a maior mortalidade, com 19 casos (43,2%), seguido pelo Norte com 9 (20,5%) e Sudeste com 8 (18,2%). Sul e Centro-Oeste apresentaram 4 óbitos cada (9,1%). A maioria ocorreu no primeiro ano de vida (33 casos; 75%). Entretanto, 11 óbitos ocorreram entre 1 e 4 anos (25%), sugerindo diagnóstico tardio, especialmente em meninos, cuja genitália externa normal ao nascimento pode retardar a suspeita clínica até crises adrenais graves. </w:t>
      </w:r>
      <w:r w:rsidRPr="00546627">
        <w:rPr>
          <w:b/>
          <w:color w:val="1A1A1A"/>
          <w:sz w:val="22"/>
          <w:szCs w:val="21"/>
        </w:rPr>
        <w:t xml:space="preserve">Conclusão: </w:t>
      </w:r>
      <w:r w:rsidRPr="00546627">
        <w:rPr>
          <w:color w:val="1A1A1A"/>
          <w:sz w:val="22"/>
          <w:szCs w:val="21"/>
        </w:rPr>
        <w:t xml:space="preserve">A mortalidade por hiperplasia adrenal congênita no Brasil evidencia falhas na cobertura e na logística da triagem neonatal, com desigualdades marcantes nas regiões Norte e Nordeste. A crise adrenal deve ser considerada diagnóstico diferencial em lactentes com choque. </w:t>
      </w:r>
      <w:proofErr w:type="gramStart"/>
      <w:r w:rsidRPr="00546627">
        <w:rPr>
          <w:color w:val="1A1A1A"/>
          <w:sz w:val="22"/>
          <w:szCs w:val="21"/>
        </w:rPr>
        <w:t>A</w:t>
      </w:r>
      <w:proofErr w:type="gramEnd"/>
      <w:r w:rsidRPr="00546627">
        <w:rPr>
          <w:color w:val="1A1A1A"/>
          <w:sz w:val="22"/>
          <w:szCs w:val="21"/>
        </w:rPr>
        <w:t xml:space="preserve"> ampliação da etapa quatro do teste do pezinho e a redução do tempo entre coleta e resultado são medidas essenciais para prevenir óbitos evitáveis e promover equidade na saúde infantil.</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do Vale do Rio dos Sinos (UNISINOS</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Universidade Feevale</w:t>
      </w:r>
    </w:p>
    <w:p w:rsidR="000B5910" w:rsidRPr="00546627" w:rsidRDefault="00057F5C">
      <w:pPr>
        <w:spacing w:after="0" w:line="252" w:lineRule="auto"/>
        <w:rPr>
          <w:sz w:val="16"/>
          <w:szCs w:val="16"/>
        </w:rPr>
      </w:pPr>
      <w:r w:rsidRPr="00546627">
        <w:rPr>
          <w:color w:val="595959"/>
          <w:sz w:val="16"/>
          <w:szCs w:val="16"/>
          <w:vertAlign w:val="superscript"/>
        </w:rPr>
        <w:t>3</w:t>
      </w:r>
      <w:r w:rsidRPr="00546627">
        <w:rPr>
          <w:color w:val="595959"/>
          <w:sz w:val="16"/>
          <w:szCs w:val="16"/>
        </w:rPr>
        <w:t xml:space="preserve"> Universidade Luterana do Brasil (ULBRA</w:t>
      </w:r>
    </w:p>
    <w:p w:rsidR="000B5910" w:rsidRPr="00546627" w:rsidRDefault="00057F5C">
      <w:pPr>
        <w:spacing w:after="0" w:line="252" w:lineRule="auto"/>
        <w:rPr>
          <w:sz w:val="16"/>
          <w:szCs w:val="16"/>
        </w:rPr>
      </w:pPr>
      <w:r w:rsidRPr="00546627">
        <w:rPr>
          <w:color w:val="595959"/>
          <w:sz w:val="16"/>
          <w:szCs w:val="16"/>
          <w:vertAlign w:val="superscript"/>
        </w:rPr>
        <w:t>4</w:t>
      </w:r>
      <w:r w:rsidRPr="00546627">
        <w:rPr>
          <w:color w:val="595959"/>
          <w:sz w:val="16"/>
          <w:szCs w:val="16"/>
        </w:rPr>
        <w:t xml:space="preserve"> Universidade Federal de Ciências da Saúde de Porto Alegre (UFCSPA</w:t>
      </w:r>
    </w:p>
    <w:p w:rsidR="000B5910" w:rsidRPr="00546627" w:rsidRDefault="00057F5C">
      <w:pPr>
        <w:spacing w:after="0" w:line="252" w:lineRule="auto"/>
        <w:rPr>
          <w:sz w:val="16"/>
          <w:szCs w:val="16"/>
        </w:rPr>
      </w:pPr>
      <w:r w:rsidRPr="00546627">
        <w:rPr>
          <w:color w:val="595959"/>
          <w:sz w:val="16"/>
          <w:szCs w:val="16"/>
          <w:vertAlign w:val="superscript"/>
        </w:rPr>
        <w:t>5</w:t>
      </w:r>
      <w:r w:rsidRPr="00546627">
        <w:rPr>
          <w:color w:val="595959"/>
          <w:sz w:val="16"/>
          <w:szCs w:val="16"/>
        </w:rPr>
        <w:t xml:space="preserve"> Pontifícia Universidade Católica do Rio Grande do Sul (PUCRS</w:t>
      </w:r>
    </w:p>
    <w:p w:rsidR="000B5910" w:rsidRDefault="000B5910">
      <w:pPr>
        <w:sectPr w:rsidR="000B5910">
          <w:headerReference w:type="default" r:id="rId211"/>
          <w:footerReference w:type="default" r:id="rId21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SISTOSTEROLEMIA INFANTIL: RELATO DE CASO E DESAFIO DIAGNÓSTICO</w:t>
      </w:r>
    </w:p>
    <w:p w:rsidR="000B5910" w:rsidRPr="00546627" w:rsidRDefault="00057F5C" w:rsidP="00546627">
      <w:pPr>
        <w:spacing w:after="40" w:line="240" w:lineRule="auto"/>
        <w:jc w:val="right"/>
        <w:rPr>
          <w:szCs w:val="21"/>
        </w:rPr>
      </w:pPr>
      <w:r w:rsidRPr="00546627">
        <w:rPr>
          <w:color w:val="1A1A1A"/>
          <w:szCs w:val="21"/>
        </w:rPr>
        <w:t>Andressa da Rosa Schein</w:t>
      </w:r>
      <w:r w:rsidRPr="00546627">
        <w:rPr>
          <w:color w:val="1A1A1A"/>
          <w:szCs w:val="21"/>
          <w:vertAlign w:val="superscript"/>
        </w:rPr>
        <w:t>1</w:t>
      </w:r>
      <w:r w:rsidRPr="00546627">
        <w:rPr>
          <w:szCs w:val="21"/>
        </w:rPr>
        <w:br/>
      </w:r>
      <w:r w:rsidRPr="00546627">
        <w:rPr>
          <w:color w:val="1A1A1A"/>
          <w:szCs w:val="21"/>
        </w:rPr>
        <w:t>Arthur Chiodelli</w:t>
      </w:r>
      <w:r w:rsidRPr="00546627">
        <w:rPr>
          <w:color w:val="1A1A1A"/>
          <w:szCs w:val="21"/>
          <w:vertAlign w:val="superscript"/>
        </w:rPr>
        <w:t>1</w:t>
      </w:r>
      <w:r w:rsidRPr="00546627">
        <w:rPr>
          <w:szCs w:val="21"/>
        </w:rPr>
        <w:br/>
      </w:r>
      <w:r w:rsidRPr="00546627">
        <w:rPr>
          <w:color w:val="1A1A1A"/>
          <w:szCs w:val="21"/>
        </w:rPr>
        <w:t>Georgia Baseggio Tagliari</w:t>
      </w:r>
      <w:r w:rsidRPr="00546627">
        <w:rPr>
          <w:color w:val="1A1A1A"/>
          <w:szCs w:val="21"/>
          <w:vertAlign w:val="superscript"/>
        </w:rPr>
        <w:t>1</w:t>
      </w:r>
      <w:r w:rsidRPr="00546627">
        <w:rPr>
          <w:szCs w:val="21"/>
        </w:rPr>
        <w:br/>
      </w:r>
      <w:r w:rsidRPr="00546627">
        <w:rPr>
          <w:color w:val="1A1A1A"/>
          <w:szCs w:val="21"/>
        </w:rPr>
        <w:t>Pâmela Toso Meira</w:t>
      </w:r>
      <w:r w:rsidRPr="00546627">
        <w:rPr>
          <w:color w:val="1A1A1A"/>
          <w:szCs w:val="21"/>
          <w:vertAlign w:val="superscript"/>
        </w:rPr>
        <w:t>1</w:t>
      </w:r>
      <w:r w:rsidRPr="00546627">
        <w:rPr>
          <w:szCs w:val="21"/>
        </w:rPr>
        <w:br/>
      </w:r>
      <w:r w:rsidRPr="00546627">
        <w:rPr>
          <w:color w:val="1A1A1A"/>
          <w:szCs w:val="21"/>
        </w:rPr>
        <w:t>Giancarlo Canello Guerra</w:t>
      </w:r>
      <w:r w:rsidRPr="00546627">
        <w:rPr>
          <w:color w:val="1A1A1A"/>
          <w:szCs w:val="21"/>
          <w:vertAlign w:val="superscript"/>
        </w:rPr>
        <w:t>1</w:t>
      </w:r>
      <w:r w:rsidRPr="00546627">
        <w:rPr>
          <w:szCs w:val="21"/>
        </w:rPr>
        <w:br/>
      </w:r>
      <w:r w:rsidRPr="00546627">
        <w:rPr>
          <w:color w:val="1A1A1A"/>
          <w:szCs w:val="21"/>
        </w:rPr>
        <w:t>Guilherme Rauch Magalhães</w:t>
      </w:r>
      <w:r w:rsidRPr="00546627">
        <w:rPr>
          <w:color w:val="1A1A1A"/>
          <w:szCs w:val="21"/>
          <w:vertAlign w:val="superscript"/>
        </w:rPr>
        <w:t>1</w:t>
      </w:r>
      <w:r w:rsidRPr="00546627">
        <w:rPr>
          <w:szCs w:val="21"/>
        </w:rPr>
        <w:br/>
      </w:r>
      <w:r w:rsidRPr="00546627">
        <w:rPr>
          <w:color w:val="1A1A1A"/>
          <w:szCs w:val="21"/>
        </w:rPr>
        <w:t>Giovana Scussel</w:t>
      </w:r>
      <w:r w:rsidRPr="00546627">
        <w:rPr>
          <w:color w:val="1A1A1A"/>
          <w:szCs w:val="21"/>
          <w:vertAlign w:val="superscript"/>
        </w:rPr>
        <w:t>1</w:t>
      </w:r>
      <w:r w:rsidRPr="00546627">
        <w:rPr>
          <w:szCs w:val="21"/>
        </w:rPr>
        <w:br/>
      </w:r>
      <w:r w:rsidRPr="00546627">
        <w:rPr>
          <w:color w:val="1A1A1A"/>
          <w:szCs w:val="21"/>
        </w:rPr>
        <w:t>Izadora Luiza Kunzler</w:t>
      </w:r>
      <w:r w:rsidRPr="00546627">
        <w:rPr>
          <w:color w:val="1A1A1A"/>
          <w:szCs w:val="21"/>
          <w:vertAlign w:val="superscript"/>
        </w:rPr>
        <w:t>1</w:t>
      </w:r>
      <w:r w:rsidRPr="00546627">
        <w:rPr>
          <w:szCs w:val="21"/>
        </w:rPr>
        <w:br/>
      </w:r>
      <w:r w:rsidRPr="00546627">
        <w:rPr>
          <w:color w:val="1A1A1A"/>
          <w:szCs w:val="21"/>
        </w:rPr>
        <w:t>Ana Flávia Orlandini</w:t>
      </w:r>
      <w:r w:rsidRPr="00546627">
        <w:rPr>
          <w:color w:val="1A1A1A"/>
          <w:szCs w:val="21"/>
          <w:vertAlign w:val="superscript"/>
        </w:rPr>
        <w:t>1</w:t>
      </w:r>
      <w:r w:rsidRPr="00546627">
        <w:rPr>
          <w:szCs w:val="21"/>
        </w:rPr>
        <w:br/>
      </w:r>
      <w:r w:rsidRPr="00546627">
        <w:rPr>
          <w:color w:val="1A1A1A"/>
          <w:szCs w:val="21"/>
        </w:rPr>
        <w:t>Hans Makki Weinert</w:t>
      </w:r>
      <w:r w:rsidRPr="00546627">
        <w:rPr>
          <w:color w:val="1A1A1A"/>
          <w:szCs w:val="21"/>
          <w:vertAlign w:val="superscript"/>
        </w:rPr>
        <w:t>1</w:t>
      </w:r>
      <w:r w:rsidRPr="00546627">
        <w:rPr>
          <w:szCs w:val="21"/>
        </w:rPr>
        <w:br/>
      </w:r>
      <w:r w:rsidRPr="00546627">
        <w:rPr>
          <w:color w:val="1A1A1A"/>
          <w:szCs w:val="21"/>
        </w:rPr>
        <w:t>Laura Zin</w:t>
      </w:r>
      <w:r w:rsidRPr="00546627">
        <w:rPr>
          <w:color w:val="1A1A1A"/>
          <w:szCs w:val="21"/>
          <w:vertAlign w:val="superscript"/>
        </w:rPr>
        <w:t>1</w:t>
      </w:r>
      <w:r w:rsidRPr="00546627">
        <w:rPr>
          <w:szCs w:val="21"/>
        </w:rPr>
        <w:br/>
      </w:r>
      <w:r w:rsidRPr="00546627">
        <w:rPr>
          <w:color w:val="1A1A1A"/>
          <w:szCs w:val="21"/>
        </w:rPr>
        <w:t>Pedro Bilhar</w:t>
      </w:r>
      <w:r w:rsidRPr="00546627">
        <w:rPr>
          <w:color w:val="1A1A1A"/>
          <w:szCs w:val="21"/>
          <w:vertAlign w:val="superscript"/>
        </w:rPr>
        <w:t>1</w:t>
      </w:r>
      <w:r w:rsidRPr="00546627">
        <w:rPr>
          <w:szCs w:val="21"/>
        </w:rPr>
        <w:br/>
      </w:r>
      <w:r w:rsidRPr="00546627">
        <w:rPr>
          <w:color w:val="1A1A1A"/>
          <w:szCs w:val="21"/>
        </w:rPr>
        <w:t>Georgia Chichelero</w:t>
      </w:r>
      <w:r w:rsidRPr="00546627">
        <w:rPr>
          <w:color w:val="1A1A1A"/>
          <w:szCs w:val="21"/>
          <w:vertAlign w:val="superscript"/>
        </w:rPr>
        <w:t>1</w:t>
      </w:r>
      <w:r w:rsidRPr="00546627">
        <w:rPr>
          <w:szCs w:val="21"/>
        </w:rPr>
        <w:br/>
      </w:r>
      <w:r w:rsidRPr="00546627">
        <w:rPr>
          <w:color w:val="1A1A1A"/>
          <w:szCs w:val="21"/>
        </w:rPr>
        <w:t>Júlia Piano Seben</w:t>
      </w:r>
      <w:r w:rsidRPr="00546627">
        <w:rPr>
          <w:color w:val="1A1A1A"/>
          <w:szCs w:val="21"/>
          <w:vertAlign w:val="superscript"/>
        </w:rPr>
        <w:t>1</w:t>
      </w:r>
    </w:p>
    <w:p w:rsidR="000B5910" w:rsidRDefault="00057F5C" w:rsidP="00546627">
      <w:pPr>
        <w:spacing w:before="200" w:after="100" w:line="240" w:lineRule="auto"/>
      </w:pPr>
      <w:r>
        <w:rPr>
          <w:b/>
          <w:color w:val="1A1A1A"/>
          <w:sz w:val="22"/>
          <w:szCs w:val="24"/>
        </w:rPr>
        <w:t>RESUMO</w:t>
      </w:r>
    </w:p>
    <w:p w:rsidR="000B5910" w:rsidRPr="00546627" w:rsidRDefault="00057F5C" w:rsidP="00546627">
      <w:pPr>
        <w:spacing w:after="80" w:line="240" w:lineRule="auto"/>
        <w:jc w:val="both"/>
        <w:rPr>
          <w:sz w:val="22"/>
        </w:rPr>
      </w:pPr>
      <w:r w:rsidRPr="00546627">
        <w:rPr>
          <w:b/>
          <w:color w:val="1A1A1A"/>
          <w:sz w:val="22"/>
        </w:rPr>
        <w:t xml:space="preserve">Apresentação do Caso: </w:t>
      </w:r>
      <w:r w:rsidRPr="00546627">
        <w:rPr>
          <w:color w:val="1A1A1A"/>
          <w:sz w:val="22"/>
        </w:rPr>
        <w:t>Paciente feminina, 6 anos e 6 meses, previamente hígida, encaminhada por elevação persistente do colesterol total (CT) e lipoproteína de baixa densidade (LDL). Histórico familiar de 2º grau de dislipidemia e acidente vascular cerebral precoce. Dieta com consumo de ultraprocessados. Ao exame físico, bom estado geral, eutrófica e sem xantomas. Exames laboratoriais iniciais (sem medicação) mostraram CT 401 mg/dL e LDL 342 mg/dL. Repetidos após 1 mês, apresentou CT 607 mg/dL e LDL 475 mg/dL. Diante da suspeita de dislipidemia de origem genética, iniciou-se Rosuvastatina 5 mg/dia. O diagnóstico foi confirmado por teste genético de nova geração, com variante patogênica no gene ABCG8. Foi associada Ezetimiba 10 mg/dia ao tratamento. Após 2 meses com medicação, houve redução significativa dos níveis lipídicos (CT 191 mg/dL, LDL 143 mg/dL). Reforçadas mudanças dos hábitos, novos exames laboratoriais foram realizados em 3 meses (CT 182 mg/dL, LDL 102 mg/dL). Manteve acompanhamento com boa evolução.</w:t>
      </w:r>
      <w:r w:rsidRPr="00546627">
        <w:rPr>
          <w:b/>
          <w:color w:val="1A1A1A"/>
          <w:sz w:val="22"/>
        </w:rPr>
        <w:t xml:space="preserve"> Discussão:</w:t>
      </w:r>
      <w:r w:rsidRPr="00546627">
        <w:rPr>
          <w:color w:val="1A1A1A"/>
          <w:sz w:val="22"/>
        </w:rPr>
        <w:t xml:space="preserve"> A sitosterolemia é uma doença autossômica recessiva caracterizada por absorção intestinal aumentada e acúmulo plasmático de esteróis, decorrente de mutações nos genes ABCG5 ou ABCG8. A baixa prevalência descrita na literatura, em torno de 100 casos relatados, reflete a raridade da doença. Apresenta variabilidade clínica, desde indivíduos assintomáticos até aterosclerose e doença cardiovascular precoce. As manifestações mais comuns são hipercolesterolemia e xantomas. A doença mimetiza hipercolesterolemia familiar, pois ambas cursam com LDL elevado e risco de aterosclerose precoce. Contudo, na sitosterolemia os níveis de LDL tendem a ser mais variáveis e influenciados pela dieta. O diagnóstico é desafiador devido à baixa disponibilidade de métodos específicos, pois os exames lipídicos de rotina não diferenciam colesterol de fitoesteróis. A confirmação pode ser feita pela dosagem de fitoesteróis por cromatografia gasosa associada à espectrometria de massa ou por análise genética com mutações nos genes ABCG5 ou ABCG8. O tratamento inclui medidas dietéticas e farmacológicas, sendo a primeira escolha Ezetimiba por reduzir </w:t>
      </w:r>
      <w:proofErr w:type="gramStart"/>
      <w:r w:rsidRPr="00546627">
        <w:rPr>
          <w:color w:val="1A1A1A"/>
          <w:sz w:val="22"/>
        </w:rPr>
        <w:t>a</w:t>
      </w:r>
      <w:proofErr w:type="gramEnd"/>
      <w:r w:rsidRPr="00546627">
        <w:rPr>
          <w:color w:val="1A1A1A"/>
          <w:sz w:val="22"/>
        </w:rPr>
        <w:t xml:space="preserve"> absorção de colesterol/sitosterol. Inibidores de PCSK9 e aférese de LDL podem ser considerados. </w:t>
      </w:r>
      <w:r w:rsidRPr="00546627">
        <w:rPr>
          <w:b/>
          <w:color w:val="1A1A1A"/>
          <w:sz w:val="22"/>
        </w:rPr>
        <w:t>Considerações finais:</w:t>
      </w:r>
      <w:r w:rsidRPr="00546627">
        <w:rPr>
          <w:color w:val="1A1A1A"/>
          <w:sz w:val="22"/>
        </w:rPr>
        <w:t xml:space="preserve"> Este relato reforça </w:t>
      </w:r>
      <w:proofErr w:type="gramStart"/>
      <w:r w:rsidRPr="00546627">
        <w:rPr>
          <w:color w:val="1A1A1A"/>
          <w:sz w:val="22"/>
        </w:rPr>
        <w:t>a</w:t>
      </w:r>
      <w:proofErr w:type="gramEnd"/>
      <w:r w:rsidRPr="00546627">
        <w:rPr>
          <w:color w:val="1A1A1A"/>
          <w:sz w:val="22"/>
        </w:rPr>
        <w:t xml:space="preserve"> importância de reconhecer a sitosterolemia como diagnóstico diferencial em pacientes com dislipidemia, destacando a necessidade de maior atenção ao rastreamento e diagnóstico precoce a fim de prevenir complicações.</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Escola de Medicina da Universidade de Passo Fundo, Passo Fundo, Brasil</w:t>
      </w:r>
    </w:p>
    <w:p w:rsidR="000B5910" w:rsidRDefault="000B5910">
      <w:pPr>
        <w:sectPr w:rsidR="000B5910">
          <w:headerReference w:type="default" r:id="rId213"/>
          <w:footerReference w:type="default" r:id="rId21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PAN-HIPOPITUITARISMO EM PACIENTE COM EXPOSIÇÃO AO OCTREOTIDE LAR DURANTE A GESTAÇÃO: RELATO DE CASO E REVISÃO DA LITERATURA</w:t>
      </w:r>
    </w:p>
    <w:p w:rsidR="000B5910" w:rsidRPr="00546627" w:rsidRDefault="00057F5C">
      <w:pPr>
        <w:spacing w:after="40" w:line="252" w:lineRule="auto"/>
        <w:jc w:val="right"/>
        <w:rPr>
          <w:szCs w:val="21"/>
        </w:rPr>
      </w:pPr>
      <w:r w:rsidRPr="00546627">
        <w:rPr>
          <w:color w:val="1A1A1A"/>
          <w:szCs w:val="21"/>
        </w:rPr>
        <w:t>Luisa Prediger Maciel</w:t>
      </w:r>
      <w:r w:rsidRPr="00546627">
        <w:rPr>
          <w:color w:val="1A1A1A"/>
          <w:szCs w:val="21"/>
          <w:vertAlign w:val="superscript"/>
        </w:rPr>
        <w:t>1</w:t>
      </w:r>
      <w:r w:rsidRPr="00546627">
        <w:rPr>
          <w:szCs w:val="21"/>
        </w:rPr>
        <w:br/>
      </w:r>
      <w:r w:rsidRPr="00546627">
        <w:rPr>
          <w:color w:val="1A1A1A"/>
          <w:szCs w:val="21"/>
        </w:rPr>
        <w:t>Maria Cândida Bones dos Santos</w:t>
      </w:r>
      <w:r w:rsidRPr="00546627">
        <w:rPr>
          <w:color w:val="1A1A1A"/>
          <w:szCs w:val="21"/>
          <w:vertAlign w:val="superscript"/>
        </w:rPr>
        <w:t>1</w:t>
      </w:r>
      <w:r w:rsidRPr="00546627">
        <w:rPr>
          <w:szCs w:val="21"/>
        </w:rPr>
        <w:br/>
      </w:r>
      <w:r w:rsidRPr="00546627">
        <w:rPr>
          <w:color w:val="1A1A1A"/>
          <w:szCs w:val="21"/>
        </w:rPr>
        <w:t>Maria Eduarda Dutra Martins</w:t>
      </w:r>
      <w:r w:rsidRPr="00546627">
        <w:rPr>
          <w:color w:val="1A1A1A"/>
          <w:szCs w:val="21"/>
          <w:vertAlign w:val="superscript"/>
        </w:rPr>
        <w:t>1</w:t>
      </w:r>
      <w:r w:rsidRPr="00546627">
        <w:rPr>
          <w:szCs w:val="21"/>
        </w:rPr>
        <w:br/>
      </w:r>
      <w:r w:rsidRPr="00546627">
        <w:rPr>
          <w:color w:val="1A1A1A"/>
          <w:szCs w:val="21"/>
        </w:rPr>
        <w:t>Maria Eduarda Secchi Solforoso</w:t>
      </w:r>
      <w:r w:rsidRPr="00546627">
        <w:rPr>
          <w:color w:val="1A1A1A"/>
          <w:szCs w:val="21"/>
          <w:vertAlign w:val="superscript"/>
        </w:rPr>
        <w:t>1</w:t>
      </w:r>
      <w:r w:rsidRPr="00546627">
        <w:rPr>
          <w:szCs w:val="21"/>
        </w:rPr>
        <w:br/>
      </w:r>
      <w:r w:rsidRPr="00546627">
        <w:rPr>
          <w:color w:val="1A1A1A"/>
          <w:szCs w:val="21"/>
        </w:rPr>
        <w:t>Thizá Massaia Londero Gai</w:t>
      </w:r>
      <w:r w:rsidRPr="00546627">
        <w:rPr>
          <w:color w:val="1A1A1A"/>
          <w:szCs w:val="21"/>
          <w:vertAlign w:val="superscript"/>
        </w:rPr>
        <w:t>2</w:t>
      </w:r>
    </w:p>
    <w:p w:rsidR="000B5910" w:rsidRDefault="00057F5C">
      <w:pPr>
        <w:spacing w:before="240" w:after="100"/>
      </w:pPr>
      <w:r>
        <w:rPr>
          <w:b/>
          <w:color w:val="1A1A1A"/>
          <w:sz w:val="22"/>
        </w:rPr>
        <w:t>RESUMO</w:t>
      </w:r>
    </w:p>
    <w:p w:rsidR="000B5910" w:rsidRPr="00546627" w:rsidRDefault="00057F5C">
      <w:pPr>
        <w:spacing w:after="80"/>
        <w:jc w:val="both"/>
        <w:rPr>
          <w:sz w:val="22"/>
        </w:rPr>
      </w:pPr>
      <w:r w:rsidRPr="00546627">
        <w:rPr>
          <w:b/>
          <w:color w:val="1A1A1A"/>
          <w:sz w:val="22"/>
        </w:rPr>
        <w:t>Apresentação do Caso:</w:t>
      </w:r>
      <w:r w:rsidRPr="00546627">
        <w:rPr>
          <w:color w:val="1A1A1A"/>
          <w:sz w:val="22"/>
        </w:rPr>
        <w:t xml:space="preserve"> trata-se de menina nascida em 03/2021, encaminhada por baixa estatura e redução da velocidade de crescimento (VC) desde o primeiro ano de vida, além de atraso do desenvolvimento neuropsicomotor e episódios de hipoglicemia. História familiar de acromegalia (mãe e tia avó materna). Acromegalia materna prévia à gestação, tratada com cirurgia e octreotide LAR por ressecção incompleta do tumor. O octreotide foi suspenso após confirmação da gestação, porém foi reiniciado e mantido na segunda metade da gravidez por crescimento tumoral. Evoluiu com diabetes gestacional tratado com insulinoterapia. Nasceu às 37 semanas, peso 2850g, comprimento 48cm e APGAR 9/10. Aos 3 anos e 4 meses, apresentava fácies de querubim, estatura 78 cm (Z −4,73) e IMC 20,5kg/m² (Z 2.6). VC 3cm/ano. </w:t>
      </w:r>
      <w:proofErr w:type="gramStart"/>
      <w:r w:rsidRPr="00546627">
        <w:rPr>
          <w:color w:val="1A1A1A"/>
          <w:sz w:val="22"/>
        </w:rPr>
        <w:t>A</w:t>
      </w:r>
      <w:proofErr w:type="gramEnd"/>
      <w:r w:rsidRPr="00546627">
        <w:rPr>
          <w:color w:val="1A1A1A"/>
          <w:sz w:val="22"/>
        </w:rPr>
        <w:t xml:space="preserve"> avaliação laboratorial evidenciou níveis baixos de T4 livre, IGF1 e cortisol (repetidamente), compatível com pan-hipopituitarismo. Ressonância magnética de sela túrcica evidenciou cisto de bolsa de Rathke. Iniciou reposição de levotiroxina, glicocorticoide e somatropina, com evolução favorável. </w:t>
      </w:r>
      <w:r w:rsidRPr="00546627">
        <w:rPr>
          <w:b/>
          <w:color w:val="1A1A1A"/>
          <w:sz w:val="22"/>
        </w:rPr>
        <w:t>Discussão:</w:t>
      </w:r>
      <w:r w:rsidRPr="00546627">
        <w:rPr>
          <w:color w:val="1A1A1A"/>
          <w:sz w:val="22"/>
        </w:rPr>
        <w:t xml:space="preserve"> Gestação em mulheres com acromegalia é incomum e o manejo nesse período ainda tem evidências limitadas. Recomenda-se suspender análogos da somatostatina após confirmação da gravidez, exceto em casos de crescimento tumoral sintomático. Não há evidência clara de teratogenicidade </w:t>
      </w:r>
      <w:proofErr w:type="gramStart"/>
      <w:r w:rsidRPr="00546627">
        <w:rPr>
          <w:color w:val="1A1A1A"/>
          <w:sz w:val="22"/>
        </w:rPr>
        <w:t>mas</w:t>
      </w:r>
      <w:proofErr w:type="gramEnd"/>
      <w:r w:rsidRPr="00546627">
        <w:rPr>
          <w:color w:val="1A1A1A"/>
          <w:sz w:val="22"/>
        </w:rPr>
        <w:t xml:space="preserve"> dados de segurança fetal ainda são limitados. O octreotide pode atravessar a barreira placentária, atingindo concentrações fetais relevantes. A hipófise fetal expressa receptores de somatostatina (SSTR2 e SSTR5) a partir do segundo trimestre. Como a somatostatina inibe a secreção de hormônios hipofisários, como GH e TSH, suspeita-se de interferência no desenvolvimento do eixo hipotálamo-hipófise fetal no caso apresentado. Não foram identificados relatos prévios na literatura de pan-hipopituitarismo em prole exposta intraútero </w:t>
      </w:r>
      <w:proofErr w:type="gramStart"/>
      <w:r w:rsidRPr="00546627">
        <w:rPr>
          <w:color w:val="1A1A1A"/>
          <w:sz w:val="22"/>
        </w:rPr>
        <w:t>a</w:t>
      </w:r>
      <w:proofErr w:type="gramEnd"/>
      <w:r w:rsidRPr="00546627">
        <w:rPr>
          <w:color w:val="1A1A1A"/>
          <w:sz w:val="22"/>
        </w:rPr>
        <w:t xml:space="preserve"> análogos da somatostatina. </w:t>
      </w:r>
      <w:r w:rsidRPr="00546627">
        <w:rPr>
          <w:b/>
          <w:color w:val="1A1A1A"/>
          <w:sz w:val="22"/>
        </w:rPr>
        <w:t xml:space="preserve">Considerações finais: </w:t>
      </w:r>
      <w:r w:rsidRPr="00546627">
        <w:rPr>
          <w:color w:val="1A1A1A"/>
          <w:sz w:val="22"/>
        </w:rPr>
        <w:t xml:space="preserve">este relato descreve um caso de pan-hipopituitarismo após exposição intrauterina </w:t>
      </w:r>
      <w:proofErr w:type="gramStart"/>
      <w:r w:rsidRPr="00546627">
        <w:rPr>
          <w:color w:val="1A1A1A"/>
          <w:sz w:val="22"/>
        </w:rPr>
        <w:t>a</w:t>
      </w:r>
      <w:proofErr w:type="gramEnd"/>
      <w:r w:rsidRPr="00546627">
        <w:rPr>
          <w:color w:val="1A1A1A"/>
          <w:sz w:val="22"/>
        </w:rPr>
        <w:t xml:space="preserve"> análogo de somatostatina. Não é possível firmar causalidade, mas reforça </w:t>
      </w:r>
      <w:proofErr w:type="gramStart"/>
      <w:r w:rsidRPr="00546627">
        <w:rPr>
          <w:color w:val="1A1A1A"/>
          <w:sz w:val="22"/>
        </w:rPr>
        <w:t>a</w:t>
      </w:r>
      <w:proofErr w:type="gramEnd"/>
      <w:r w:rsidRPr="00546627">
        <w:rPr>
          <w:color w:val="1A1A1A"/>
          <w:sz w:val="22"/>
        </w:rPr>
        <w:t xml:space="preserve"> importância do acompanhamento endocrinológico da prole exposta durante gestação e destaca a necessidade de mais estudos sobre os potenciais efeitos dessas medicações no desenvolvimento fetal.</w:t>
      </w:r>
    </w:p>
    <w:p w:rsidR="000B5910" w:rsidRDefault="000B5910">
      <w:pPr>
        <w:pBdr>
          <w:bottom w:val="single" w:sz="4" w:space="2" w:color="808080"/>
        </w:pBdr>
        <w:spacing w:before="16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Federal de Santa Maria (UFSM</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Departamento de Medicina Interna, Universidade Federal de Santa Maria (UFSM</w:t>
      </w:r>
    </w:p>
    <w:p w:rsidR="000B5910" w:rsidRDefault="000B5910">
      <w:pPr>
        <w:sectPr w:rsidR="000B5910">
          <w:headerReference w:type="default" r:id="rId215"/>
          <w:footerReference w:type="default" r:id="rId21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VARIABILIDADE FENOTÍPICA E MANIFESTAÇÕES PRECOCES EM UM PACIENTE PEDIÁTRICO COM SÍNDROME DE KLINEFELTER</w:t>
      </w:r>
    </w:p>
    <w:p w:rsidR="000B5910" w:rsidRPr="00546627" w:rsidRDefault="00057F5C">
      <w:pPr>
        <w:spacing w:after="40" w:line="252" w:lineRule="auto"/>
        <w:jc w:val="right"/>
        <w:rPr>
          <w:szCs w:val="21"/>
        </w:rPr>
      </w:pPr>
      <w:r w:rsidRPr="00546627">
        <w:rPr>
          <w:color w:val="1A1A1A"/>
          <w:szCs w:val="21"/>
        </w:rPr>
        <w:t>Fernanda Camila Bassetto</w:t>
      </w:r>
      <w:r w:rsidRPr="00546627">
        <w:rPr>
          <w:color w:val="1A1A1A"/>
          <w:szCs w:val="21"/>
          <w:vertAlign w:val="superscript"/>
        </w:rPr>
        <w:t>1</w:t>
      </w:r>
      <w:r w:rsidRPr="00546627">
        <w:rPr>
          <w:szCs w:val="21"/>
        </w:rPr>
        <w:br/>
      </w:r>
      <w:r w:rsidRPr="00546627">
        <w:rPr>
          <w:color w:val="1A1A1A"/>
          <w:szCs w:val="21"/>
        </w:rPr>
        <w:t>Ana Luisa Becchi Fadoni</w:t>
      </w:r>
      <w:r w:rsidRPr="00546627">
        <w:rPr>
          <w:color w:val="1A1A1A"/>
          <w:szCs w:val="21"/>
          <w:vertAlign w:val="superscript"/>
        </w:rPr>
        <w:t>1</w:t>
      </w:r>
      <w:r w:rsidRPr="00546627">
        <w:rPr>
          <w:szCs w:val="21"/>
        </w:rPr>
        <w:br/>
      </w:r>
      <w:r w:rsidRPr="00546627">
        <w:rPr>
          <w:color w:val="1A1A1A"/>
          <w:szCs w:val="21"/>
        </w:rPr>
        <w:t>Nândrea da Silva Vestefal</w:t>
      </w:r>
      <w:r w:rsidRPr="00546627">
        <w:rPr>
          <w:color w:val="1A1A1A"/>
          <w:szCs w:val="21"/>
          <w:vertAlign w:val="superscript"/>
        </w:rPr>
        <w:t>1</w:t>
      </w:r>
      <w:r w:rsidRPr="00546627">
        <w:rPr>
          <w:szCs w:val="21"/>
        </w:rPr>
        <w:br/>
      </w:r>
      <w:r w:rsidRPr="00546627">
        <w:rPr>
          <w:color w:val="1A1A1A"/>
          <w:szCs w:val="21"/>
        </w:rPr>
        <w:t>Paulo Ricardo Gazzola Zen</w:t>
      </w:r>
      <w:r w:rsidRPr="00546627">
        <w:rPr>
          <w:color w:val="1A1A1A"/>
          <w:szCs w:val="21"/>
          <w:vertAlign w:val="superscript"/>
        </w:rPr>
        <w:t>1</w:t>
      </w:r>
      <w:r w:rsidRPr="00546627">
        <w:rPr>
          <w:szCs w:val="21"/>
        </w:rPr>
        <w:br/>
      </w:r>
      <w:r w:rsidRPr="00546627">
        <w:rPr>
          <w:color w:val="1A1A1A"/>
          <w:szCs w:val="21"/>
        </w:rPr>
        <w:t>Bibiana Mello de Oliveira</w:t>
      </w:r>
      <w:r w:rsidRPr="00546627">
        <w:rPr>
          <w:color w:val="1A1A1A"/>
          <w:szCs w:val="21"/>
          <w:vertAlign w:val="superscript"/>
        </w:rPr>
        <w:t>1</w:t>
      </w:r>
    </w:p>
    <w:p w:rsidR="000B5910" w:rsidRDefault="00057F5C">
      <w:pPr>
        <w:spacing w:before="240" w:after="100"/>
      </w:pPr>
      <w:r>
        <w:rPr>
          <w:b/>
          <w:color w:val="1A1A1A"/>
          <w:sz w:val="22"/>
        </w:rPr>
        <w:t>RESUMO</w:t>
      </w:r>
    </w:p>
    <w:p w:rsidR="000B5910" w:rsidRPr="00546627" w:rsidRDefault="00057F5C">
      <w:pPr>
        <w:spacing w:after="80"/>
        <w:jc w:val="both"/>
        <w:rPr>
          <w:sz w:val="22"/>
        </w:rPr>
      </w:pPr>
      <w:r w:rsidRPr="00546627">
        <w:rPr>
          <w:b/>
          <w:color w:val="1A1A1A"/>
          <w:sz w:val="22"/>
        </w:rPr>
        <w:t>Apresentação do Caso:</w:t>
      </w:r>
      <w:r w:rsidRPr="00546627">
        <w:rPr>
          <w:color w:val="1A1A1A"/>
          <w:sz w:val="22"/>
        </w:rPr>
        <w:t xml:space="preserve"> Paciente masculino, 10 anos, filho de pais não consanguíneos e jovens, apresenta clinodactilia, olhos proeminentes, trigonocefalia, narinas antevertidas, sulcos nasolabiais apagados, encurtamento da falange média/distal do 5º quirodáctilo, desvio medial de pododáctilos, pés cavo, criptorquidia unilateral, manchas hipopigmentadas em tronco e reflexo tendinoso de aquiles reduzido. Marcos do desenvolvimento normais. Comportamento descrito como agitado e com intolerância a frustrações, apresenta desempenho escolar ruim. Na história familiar pai com pé torto congênito (com sequelas após 11 cirurgias). Diagnosticado com síndrome de Klinefelter. Devido às múltiplas dismorfias e manifestações comportamentais não explicadas pelo genótipo da síndrome, hibridização cromossômica por array foi solicitada com o objetivo de excluir a presença de microdeleções e/ou microduplicações, cujo resultado não mostrou outras alterações. </w:t>
      </w:r>
      <w:r w:rsidRPr="00546627">
        <w:rPr>
          <w:b/>
          <w:color w:val="1A1A1A"/>
          <w:sz w:val="22"/>
        </w:rPr>
        <w:t>Discussão:</w:t>
      </w:r>
      <w:r w:rsidRPr="00546627">
        <w:rPr>
          <w:color w:val="1A1A1A"/>
          <w:sz w:val="22"/>
        </w:rPr>
        <w:t xml:space="preserve"> A Síndrome de Klinefelter, caracterizada pela presença de um cromossomo X extra: (</w:t>
      </w:r>
      <w:proofErr w:type="gramStart"/>
      <w:r w:rsidRPr="00546627">
        <w:rPr>
          <w:color w:val="1A1A1A"/>
          <w:sz w:val="22"/>
        </w:rPr>
        <w:t>47,XXY</w:t>
      </w:r>
      <w:proofErr w:type="gramEnd"/>
      <w:r w:rsidRPr="00546627">
        <w:rPr>
          <w:color w:val="1A1A1A"/>
          <w:sz w:val="22"/>
        </w:rPr>
        <w:t xml:space="preserve">), classicamente cursa com hipogonadismo primário, infertilidade e, frequentemente, alta estatura, além de dificuldades de aprendizado. Neste caso, a criptorquidia é uma manifestação endocrinológica relevante já na infância, que se alinha com o espectro da síndrome e demanda intervenção. Contudo, apresenta múltiplas dismorfias congênitas e manifestações comportamentais tipicamente não associadas à aneuploidia XXY. Diante dessa apresentação fenotípica ampliada, foi realizada investigação genética adicional por Microarray não revelou outras alterações, reforçando o cariótipo </w:t>
      </w:r>
      <w:proofErr w:type="gramStart"/>
      <w:r w:rsidRPr="00546627">
        <w:rPr>
          <w:color w:val="1A1A1A"/>
          <w:sz w:val="22"/>
        </w:rPr>
        <w:t>47,XXY</w:t>
      </w:r>
      <w:proofErr w:type="gramEnd"/>
      <w:r w:rsidRPr="00546627">
        <w:rPr>
          <w:color w:val="1A1A1A"/>
          <w:sz w:val="22"/>
        </w:rPr>
        <w:t xml:space="preserve"> como a única alteração cromossômica identificada. Os achados observados sugerem uma complexidade fenotípica além da esperada para a síndrome isolada, sendo necessária uma investigação aprofundada e um acompanhamento multidisciplinar para compreender as possíveis causas e implicações. </w:t>
      </w:r>
      <w:r w:rsidRPr="00546627">
        <w:rPr>
          <w:b/>
          <w:color w:val="1A1A1A"/>
          <w:sz w:val="22"/>
        </w:rPr>
        <w:t>Considerações finais:</w:t>
      </w:r>
      <w:r w:rsidRPr="00546627">
        <w:rPr>
          <w:color w:val="1A1A1A"/>
          <w:sz w:val="22"/>
        </w:rPr>
        <w:t xml:space="preserve"> Este caso ilustra a complexidade fenotípica da Síndrome de Klinefelter, evidenciando que, embora o paciente apresente manifestações clássicas há presença de múltiplos achados não típicos da aneuploidia XXY isolada. Dessa forma, ressalta a necessidade de acompanhamento multidisciplinar abrangente, incluindo avaliação endocrinológica, genética clínica, neurodesenvolvimental e ortopédica. A compreensão de possíveis fatores modificadores do fenótipo permanece um desafio e representa um campo relevante para futuras investigações.</w:t>
      </w:r>
    </w:p>
    <w:p w:rsidR="000B5910" w:rsidRDefault="000B5910">
      <w:pPr>
        <w:pBdr>
          <w:bottom w:val="single" w:sz="4" w:space="2" w:color="808080"/>
        </w:pBdr>
        <w:spacing w:before="16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Federal de Ciências e Saúde de Porto Alegre</w:t>
      </w:r>
    </w:p>
    <w:p w:rsidR="000B5910" w:rsidRDefault="000B5910">
      <w:pPr>
        <w:sectPr w:rsidR="000B5910">
          <w:headerReference w:type="default" r:id="rId217"/>
          <w:footerReference w:type="default" r:id="rId21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HIPERINSULINISMO CONGÊNITO EM PACIENTE COM MOSAICISMO TRIPLOIDE-DIPLOIDE (</w:t>
      </w:r>
      <w:proofErr w:type="gramStart"/>
      <w:r>
        <w:rPr>
          <w:b/>
          <w:color w:val="1A1A1A"/>
          <w:sz w:val="28"/>
          <w:szCs w:val="24"/>
        </w:rPr>
        <w:t>69,XXX</w:t>
      </w:r>
      <w:proofErr w:type="gramEnd"/>
      <w:r>
        <w:rPr>
          <w:b/>
          <w:color w:val="1A1A1A"/>
          <w:sz w:val="28"/>
          <w:szCs w:val="24"/>
        </w:rPr>
        <w:t>/46,XX): RELATO DE CASO</w:t>
      </w:r>
    </w:p>
    <w:p w:rsidR="000B5910" w:rsidRPr="00546627" w:rsidRDefault="00057F5C">
      <w:pPr>
        <w:spacing w:after="40" w:line="252" w:lineRule="auto"/>
        <w:jc w:val="right"/>
        <w:rPr>
          <w:szCs w:val="21"/>
        </w:rPr>
      </w:pPr>
      <w:r w:rsidRPr="00546627">
        <w:rPr>
          <w:color w:val="1A1A1A"/>
          <w:szCs w:val="21"/>
        </w:rPr>
        <w:t>Claire Sao Joao Krieger Gomes</w:t>
      </w:r>
      <w:r w:rsidRPr="00546627">
        <w:rPr>
          <w:color w:val="1A1A1A"/>
          <w:szCs w:val="21"/>
          <w:vertAlign w:val="superscript"/>
        </w:rPr>
        <w:t>1</w:t>
      </w:r>
      <w:r w:rsidRPr="00546627">
        <w:rPr>
          <w:szCs w:val="21"/>
        </w:rPr>
        <w:br/>
      </w:r>
      <w:r w:rsidRPr="00546627">
        <w:rPr>
          <w:color w:val="1A1A1A"/>
          <w:szCs w:val="21"/>
        </w:rPr>
        <w:t>Amanda Pavan</w:t>
      </w:r>
      <w:r w:rsidRPr="00546627">
        <w:rPr>
          <w:color w:val="1A1A1A"/>
          <w:szCs w:val="21"/>
          <w:vertAlign w:val="superscript"/>
        </w:rPr>
        <w:t>1</w:t>
      </w:r>
      <w:r w:rsidRPr="00546627">
        <w:rPr>
          <w:szCs w:val="21"/>
        </w:rPr>
        <w:br/>
      </w:r>
      <w:r w:rsidRPr="00546627">
        <w:rPr>
          <w:color w:val="1A1A1A"/>
          <w:szCs w:val="21"/>
        </w:rPr>
        <w:t>Lucas Faleiro</w:t>
      </w:r>
      <w:r w:rsidRPr="00546627">
        <w:rPr>
          <w:color w:val="1A1A1A"/>
          <w:szCs w:val="21"/>
          <w:vertAlign w:val="superscript"/>
        </w:rPr>
        <w:t>1</w:t>
      </w:r>
      <w:r w:rsidRPr="00546627">
        <w:rPr>
          <w:szCs w:val="21"/>
        </w:rPr>
        <w:br/>
      </w:r>
      <w:r w:rsidRPr="00546627">
        <w:rPr>
          <w:color w:val="1A1A1A"/>
          <w:szCs w:val="21"/>
        </w:rPr>
        <w:t>Kelly Rincón Torres</w:t>
      </w:r>
      <w:r w:rsidRPr="00546627">
        <w:rPr>
          <w:color w:val="1A1A1A"/>
          <w:szCs w:val="21"/>
          <w:vertAlign w:val="superscript"/>
        </w:rPr>
        <w:t>1</w:t>
      </w:r>
      <w:r w:rsidRPr="00546627">
        <w:rPr>
          <w:szCs w:val="21"/>
        </w:rPr>
        <w:br/>
      </w:r>
      <w:r w:rsidRPr="00546627">
        <w:rPr>
          <w:color w:val="1A1A1A"/>
          <w:szCs w:val="21"/>
        </w:rPr>
        <w:t>Renata Sartoretto</w:t>
      </w:r>
      <w:r w:rsidRPr="00546627">
        <w:rPr>
          <w:color w:val="1A1A1A"/>
          <w:szCs w:val="21"/>
          <w:vertAlign w:val="superscript"/>
        </w:rPr>
        <w:t>1</w:t>
      </w:r>
      <w:r w:rsidRPr="00546627">
        <w:rPr>
          <w:szCs w:val="21"/>
        </w:rPr>
        <w:br/>
      </w:r>
      <w:r w:rsidRPr="00546627">
        <w:rPr>
          <w:color w:val="1A1A1A"/>
          <w:szCs w:val="21"/>
        </w:rPr>
        <w:t>Egny Carolina Macias Mendoza</w:t>
      </w:r>
      <w:r w:rsidRPr="00546627">
        <w:rPr>
          <w:color w:val="1A1A1A"/>
          <w:szCs w:val="21"/>
          <w:vertAlign w:val="superscript"/>
        </w:rPr>
        <w:t>1</w:t>
      </w:r>
      <w:r w:rsidRPr="00546627">
        <w:rPr>
          <w:szCs w:val="21"/>
        </w:rPr>
        <w:br/>
      </w:r>
      <w:r w:rsidRPr="00546627">
        <w:rPr>
          <w:color w:val="1A1A1A"/>
          <w:szCs w:val="21"/>
        </w:rPr>
        <w:t>Cristiane Kopacek</w:t>
      </w:r>
      <w:r w:rsidRPr="00546627">
        <w:rPr>
          <w:color w:val="1A1A1A"/>
          <w:szCs w:val="21"/>
          <w:vertAlign w:val="superscript"/>
        </w:rPr>
        <w:t>2</w:t>
      </w:r>
      <w:r w:rsidRPr="00546627">
        <w:rPr>
          <w:szCs w:val="21"/>
        </w:rPr>
        <w:br/>
      </w:r>
      <w:r w:rsidRPr="00546627">
        <w:rPr>
          <w:color w:val="1A1A1A"/>
          <w:szCs w:val="21"/>
        </w:rPr>
        <w:t>Julia Fernanda Semmelmann Pereira Lima</w:t>
      </w:r>
      <w:r w:rsidRPr="00546627">
        <w:rPr>
          <w:color w:val="1A1A1A"/>
          <w:szCs w:val="21"/>
          <w:vertAlign w:val="superscript"/>
        </w:rPr>
        <w:t>1</w:t>
      </w:r>
      <w:r w:rsidRPr="00546627">
        <w:rPr>
          <w:szCs w:val="21"/>
        </w:rPr>
        <w:br/>
      </w:r>
      <w:r w:rsidRPr="00546627">
        <w:rPr>
          <w:color w:val="1A1A1A"/>
          <w:szCs w:val="21"/>
        </w:rPr>
        <w:t>Carolina Garcia Soares Leães Rech</w:t>
      </w:r>
      <w:r w:rsidRPr="00546627">
        <w:rPr>
          <w:color w:val="1A1A1A"/>
          <w:szCs w:val="21"/>
          <w:vertAlign w:val="superscript"/>
        </w:rPr>
        <w:t>1</w:t>
      </w:r>
    </w:p>
    <w:p w:rsidR="000B5910" w:rsidRDefault="00057F5C">
      <w:pPr>
        <w:spacing w:before="200" w:after="100"/>
      </w:pPr>
      <w:r>
        <w:rPr>
          <w:b/>
          <w:color w:val="1A1A1A"/>
          <w:sz w:val="22"/>
          <w:szCs w:val="24"/>
        </w:rPr>
        <w:t>RESUMO</w:t>
      </w:r>
    </w:p>
    <w:p w:rsidR="000B5910" w:rsidRPr="00546627" w:rsidRDefault="00057F5C">
      <w:pPr>
        <w:spacing w:after="80" w:line="264" w:lineRule="auto"/>
        <w:jc w:val="both"/>
        <w:rPr>
          <w:sz w:val="22"/>
        </w:rPr>
      </w:pPr>
      <w:r w:rsidRPr="00546627">
        <w:rPr>
          <w:b/>
          <w:color w:val="1A1A1A"/>
          <w:sz w:val="22"/>
        </w:rPr>
        <w:t>Apresentação do Caso:</w:t>
      </w:r>
      <w:r w:rsidRPr="00546627">
        <w:rPr>
          <w:color w:val="1A1A1A"/>
          <w:sz w:val="22"/>
        </w:rPr>
        <w:t xml:space="preserve"> Paciente feminina, 9 meses, em acompanhamento com endocrinologia pediátrica em hospital de referência em Porto Alegre por hipoglicemia recorrente iniciada no período neonatal. Nascida com 30 semanas de idade gestacional, peso adequado para </w:t>
      </w:r>
      <w:proofErr w:type="gramStart"/>
      <w:r w:rsidRPr="00546627">
        <w:rPr>
          <w:color w:val="1A1A1A"/>
          <w:sz w:val="22"/>
        </w:rPr>
        <w:t>a</w:t>
      </w:r>
      <w:proofErr w:type="gramEnd"/>
      <w:r w:rsidRPr="00546627">
        <w:rPr>
          <w:color w:val="1A1A1A"/>
          <w:sz w:val="22"/>
        </w:rPr>
        <w:t xml:space="preserve"> idade gestacional, sem macrossomia. Ao exame, apresentava múltiplas dismorfias: microtia, ectrodactilia bilateral em 2º e 3º dedos, sindactilia entre 3º e 4º dedos da mão esquerda, hipertricose em dorso e braços, excesso de pele cervical, ponte nasal alta e pseudoartrose congênita da fíbula. Na fase inicial, necessitou taxa de infusão de glicose de até 12 mg/kg/min para manutenção da euglicemia. Durante a investigação, foi coletada amostra crítica com padrão compatível com hiperinsulinismo: glicose 4 mg/dL, insulina 63,5 µU/mL, peptídeo C 9 ng/mL, além de baixos níveis de corpos cetônicos e de ácidos graxos livres. O estudo citogenético identificou mosaicismo com duas linhagens celulares: 69 cromossomos, complemento sexual XXX (triploidia), e 46 cromossomos, complemento sexual XX. Inicialmente, a hipoglicemia foi controlada com fórmula láctea hipercalórica fracionada a cada duas horas; entretanto, houve necessidade de iniciar diazóxido (10 mg/kg/dia) associado à hidroclorotiazida. A paciente evoluiu posteriormente a óbito aos 9 meses por parada cardiorrespiratória durante episódio de infecção por influenza. </w:t>
      </w:r>
      <w:r w:rsidRPr="00546627">
        <w:rPr>
          <w:b/>
          <w:color w:val="1A1A1A"/>
          <w:sz w:val="22"/>
        </w:rPr>
        <w:t>Discussão:</w:t>
      </w:r>
      <w:r w:rsidRPr="00546627">
        <w:rPr>
          <w:color w:val="1A1A1A"/>
          <w:sz w:val="22"/>
        </w:rPr>
        <w:t xml:space="preserve"> O mosaicismo triploide-diploide (</w:t>
      </w:r>
      <w:proofErr w:type="gramStart"/>
      <w:r w:rsidRPr="00546627">
        <w:rPr>
          <w:color w:val="1A1A1A"/>
          <w:sz w:val="22"/>
        </w:rPr>
        <w:t>69,XXX</w:t>
      </w:r>
      <w:proofErr w:type="gramEnd"/>
      <w:r w:rsidRPr="00546627">
        <w:rPr>
          <w:color w:val="1A1A1A"/>
          <w:sz w:val="22"/>
        </w:rPr>
        <w:t xml:space="preserve">/46,XX) é condição rara associada a múltiplas malformações e elevada morbimortalidade, sendo incomum a sobrevida além do período neonatal. Hipoglicemia neonatal já foi descrita em triploidia, geralmente relacionada a restrição de crescimento intrauterino e disfunção metabólica. Entretanto, hiperinsulinismo congênito nesse contexto é raramente relatado. A triploidia resulta em aumento global da dosagem gênica, podendo interferir na regulação da secreção de insulina e no desenvolvimento das ilhotas pancreáticas, mecanismo que pode contribuir para hiperinsulinismo em alguns casos descritos. A resposta ao diazóxido sugere preservação funcional do canal KATP das células beta pancreáticas. </w:t>
      </w:r>
      <w:r w:rsidRPr="00546627">
        <w:rPr>
          <w:b/>
          <w:color w:val="1A1A1A"/>
          <w:sz w:val="22"/>
        </w:rPr>
        <w:t>Considerações finais:</w:t>
      </w:r>
      <w:r w:rsidRPr="00546627">
        <w:rPr>
          <w:color w:val="1A1A1A"/>
          <w:sz w:val="22"/>
        </w:rPr>
        <w:t xml:space="preserve"> O caso reforça </w:t>
      </w:r>
      <w:proofErr w:type="gramStart"/>
      <w:r w:rsidRPr="00546627">
        <w:rPr>
          <w:color w:val="1A1A1A"/>
          <w:sz w:val="22"/>
        </w:rPr>
        <w:t>a</w:t>
      </w:r>
      <w:proofErr w:type="gramEnd"/>
      <w:r w:rsidRPr="00546627">
        <w:rPr>
          <w:color w:val="1A1A1A"/>
          <w:sz w:val="22"/>
        </w:rPr>
        <w:t xml:space="preserve"> importância da investigação etiológica da hipoglicemia neonatal em pacientes com anomalias congênitas, especialmente diante de fenótipos dismórficos sugestivos de alterações cromossômicas.</w:t>
      </w:r>
    </w:p>
    <w:p w:rsidR="000B5910" w:rsidRDefault="000B5910">
      <w:pPr>
        <w:pBdr>
          <w:bottom w:val="single" w:sz="4" w:space="2" w:color="808080"/>
        </w:pBdr>
        <w:spacing w:before="12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Hospital da Criança Santo Antônio - Santa Casa de Porto Alegre / UFCSPA</w:t>
      </w:r>
    </w:p>
    <w:p w:rsidR="000B5910" w:rsidRPr="00546627" w:rsidRDefault="00057F5C">
      <w:pPr>
        <w:spacing w:after="0" w:line="252" w:lineRule="auto"/>
        <w:rPr>
          <w:sz w:val="16"/>
          <w:szCs w:val="16"/>
        </w:rPr>
      </w:pPr>
      <w:r w:rsidRPr="00546627">
        <w:rPr>
          <w:color w:val="595959"/>
          <w:sz w:val="16"/>
          <w:szCs w:val="16"/>
          <w:vertAlign w:val="superscript"/>
        </w:rPr>
        <w:t>2</w:t>
      </w:r>
      <w:r w:rsidRPr="00546627">
        <w:rPr>
          <w:color w:val="595959"/>
          <w:sz w:val="16"/>
          <w:szCs w:val="16"/>
        </w:rPr>
        <w:t xml:space="preserve"> 1 – Hospital da Criança Santo Antônio – Santa Casa de Porto Alegre / UFCSPA 2 – Hospital Materno Infantil Presidente Vargas / HMIPV 3 – Departamento de Pediatria, Universidade Federal do Rio Grande do Sul</w:t>
      </w:r>
    </w:p>
    <w:p w:rsidR="000B5910" w:rsidRDefault="000B5910">
      <w:pPr>
        <w:sectPr w:rsidR="000B5910">
          <w:headerReference w:type="default" r:id="rId219"/>
          <w:footerReference w:type="default" r:id="rId220"/>
          <w:pgSz w:w="12240" w:h="15840"/>
          <w:pgMar w:top="1417" w:right="1417" w:bottom="1417" w:left="1417" w:header="680" w:footer="680" w:gutter="0"/>
          <w:cols w:space="720"/>
        </w:sectPr>
      </w:pPr>
    </w:p>
    <w:p w:rsidR="000B5910" w:rsidRDefault="00057F5C">
      <w:pPr>
        <w:spacing w:before="80" w:after="160" w:line="252" w:lineRule="auto"/>
        <w:jc w:val="center"/>
        <w:rPr>
          <w:sz w:val="22"/>
          <w:szCs w:val="24"/>
        </w:rPr>
      </w:pPr>
      <w:r>
        <w:rPr>
          <w:b/>
          <w:color w:val="1A1A1A"/>
          <w:sz w:val="28"/>
          <w:szCs w:val="24"/>
        </w:rPr>
        <w:lastRenderedPageBreak/>
        <w:t>MOSAICISMO NA SÍNDROME DE TURNER: DIAGNÓSTICO GENÉTICO COMO BASE PARA O MANEJO CLÍNICO</w:t>
      </w:r>
    </w:p>
    <w:p w:rsidR="000B5910" w:rsidRPr="00546627" w:rsidRDefault="00057F5C" w:rsidP="00546627">
      <w:pPr>
        <w:spacing w:after="40" w:line="240" w:lineRule="auto"/>
        <w:jc w:val="right"/>
        <w:rPr>
          <w:szCs w:val="21"/>
        </w:rPr>
      </w:pPr>
      <w:r w:rsidRPr="00546627">
        <w:rPr>
          <w:color w:val="1A1A1A"/>
          <w:szCs w:val="21"/>
        </w:rPr>
        <w:t>Rafaela Zell</w:t>
      </w:r>
      <w:r w:rsidRPr="00546627">
        <w:rPr>
          <w:color w:val="1A1A1A"/>
          <w:szCs w:val="21"/>
          <w:vertAlign w:val="superscript"/>
        </w:rPr>
        <w:t>1</w:t>
      </w:r>
      <w:r w:rsidRPr="00546627">
        <w:rPr>
          <w:szCs w:val="21"/>
        </w:rPr>
        <w:br/>
      </w:r>
      <w:r w:rsidRPr="00546627">
        <w:rPr>
          <w:color w:val="1A1A1A"/>
          <w:szCs w:val="21"/>
        </w:rPr>
        <w:t>Jayana Teixeira Maciel</w:t>
      </w:r>
      <w:r w:rsidRPr="00546627">
        <w:rPr>
          <w:color w:val="1A1A1A"/>
          <w:szCs w:val="21"/>
          <w:vertAlign w:val="superscript"/>
        </w:rPr>
        <w:t>1</w:t>
      </w:r>
      <w:r w:rsidRPr="00546627">
        <w:rPr>
          <w:szCs w:val="21"/>
        </w:rPr>
        <w:br/>
      </w:r>
      <w:r w:rsidRPr="00546627">
        <w:rPr>
          <w:color w:val="1A1A1A"/>
          <w:szCs w:val="21"/>
        </w:rPr>
        <w:t>Laise Pauletti Barp</w:t>
      </w:r>
      <w:r w:rsidRPr="00546627">
        <w:rPr>
          <w:color w:val="1A1A1A"/>
          <w:szCs w:val="21"/>
          <w:vertAlign w:val="superscript"/>
        </w:rPr>
        <w:t>1</w:t>
      </w:r>
      <w:r w:rsidRPr="00546627">
        <w:rPr>
          <w:szCs w:val="21"/>
        </w:rPr>
        <w:br/>
      </w:r>
      <w:r w:rsidRPr="00546627">
        <w:rPr>
          <w:color w:val="1A1A1A"/>
          <w:szCs w:val="21"/>
        </w:rPr>
        <w:t>Gabriella Zanin Fighera</w:t>
      </w:r>
      <w:r w:rsidRPr="00546627">
        <w:rPr>
          <w:color w:val="1A1A1A"/>
          <w:szCs w:val="21"/>
          <w:vertAlign w:val="superscript"/>
        </w:rPr>
        <w:t>1</w:t>
      </w:r>
      <w:r w:rsidRPr="00546627">
        <w:rPr>
          <w:szCs w:val="21"/>
        </w:rPr>
        <w:br/>
      </w:r>
      <w:r w:rsidRPr="00546627">
        <w:rPr>
          <w:color w:val="1A1A1A"/>
          <w:szCs w:val="21"/>
        </w:rPr>
        <w:t>Marina Frosi Amaral</w:t>
      </w:r>
      <w:r w:rsidRPr="00546627">
        <w:rPr>
          <w:color w:val="1A1A1A"/>
          <w:szCs w:val="21"/>
          <w:vertAlign w:val="superscript"/>
        </w:rPr>
        <w:t>1</w:t>
      </w:r>
      <w:r w:rsidRPr="00546627">
        <w:rPr>
          <w:szCs w:val="21"/>
        </w:rPr>
        <w:br/>
      </w:r>
      <w:r w:rsidRPr="00546627">
        <w:rPr>
          <w:color w:val="1A1A1A"/>
          <w:szCs w:val="21"/>
        </w:rPr>
        <w:t>Monique Sartori Broch</w:t>
      </w:r>
      <w:r w:rsidRPr="00546627">
        <w:rPr>
          <w:color w:val="1A1A1A"/>
          <w:szCs w:val="21"/>
          <w:vertAlign w:val="superscript"/>
        </w:rPr>
        <w:t>1</w:t>
      </w:r>
      <w:r w:rsidRPr="00546627">
        <w:rPr>
          <w:szCs w:val="21"/>
        </w:rPr>
        <w:br/>
      </w:r>
      <w:r w:rsidRPr="00546627">
        <w:rPr>
          <w:color w:val="1A1A1A"/>
          <w:szCs w:val="21"/>
        </w:rPr>
        <w:t>Laura Delai</w:t>
      </w:r>
      <w:r w:rsidRPr="00546627">
        <w:rPr>
          <w:color w:val="1A1A1A"/>
          <w:szCs w:val="21"/>
          <w:vertAlign w:val="superscript"/>
        </w:rPr>
        <w:t>1</w:t>
      </w:r>
      <w:r w:rsidRPr="00546627">
        <w:rPr>
          <w:szCs w:val="21"/>
        </w:rPr>
        <w:br/>
      </w:r>
      <w:r w:rsidRPr="00546627">
        <w:rPr>
          <w:color w:val="1A1A1A"/>
          <w:szCs w:val="21"/>
        </w:rPr>
        <w:t>Isadora Ferrari</w:t>
      </w:r>
      <w:r w:rsidRPr="00546627">
        <w:rPr>
          <w:color w:val="1A1A1A"/>
          <w:szCs w:val="21"/>
          <w:vertAlign w:val="superscript"/>
        </w:rPr>
        <w:t>1</w:t>
      </w:r>
      <w:r w:rsidRPr="00546627">
        <w:rPr>
          <w:szCs w:val="21"/>
        </w:rPr>
        <w:br/>
      </w:r>
      <w:r w:rsidRPr="00546627">
        <w:rPr>
          <w:color w:val="1A1A1A"/>
          <w:szCs w:val="21"/>
        </w:rPr>
        <w:t>Bruna Kliemann</w:t>
      </w:r>
      <w:r w:rsidRPr="00546627">
        <w:rPr>
          <w:color w:val="1A1A1A"/>
          <w:szCs w:val="21"/>
          <w:vertAlign w:val="superscript"/>
        </w:rPr>
        <w:t>1</w:t>
      </w:r>
      <w:r w:rsidRPr="00546627">
        <w:rPr>
          <w:szCs w:val="21"/>
        </w:rPr>
        <w:br/>
      </w:r>
      <w:r w:rsidRPr="00546627">
        <w:rPr>
          <w:color w:val="1A1A1A"/>
          <w:szCs w:val="21"/>
        </w:rPr>
        <w:t>Caroline Borges Cervi</w:t>
      </w:r>
      <w:r w:rsidRPr="00546627">
        <w:rPr>
          <w:color w:val="1A1A1A"/>
          <w:szCs w:val="21"/>
          <w:vertAlign w:val="superscript"/>
        </w:rPr>
        <w:t>1</w:t>
      </w:r>
      <w:r w:rsidRPr="00546627">
        <w:rPr>
          <w:szCs w:val="21"/>
        </w:rPr>
        <w:br/>
      </w:r>
      <w:r w:rsidRPr="00546627">
        <w:rPr>
          <w:color w:val="1A1A1A"/>
          <w:szCs w:val="21"/>
        </w:rPr>
        <w:t>Débora Misturini Bassotto</w:t>
      </w:r>
      <w:r w:rsidRPr="00546627">
        <w:rPr>
          <w:color w:val="1A1A1A"/>
          <w:szCs w:val="21"/>
          <w:vertAlign w:val="superscript"/>
        </w:rPr>
        <w:t>1</w:t>
      </w:r>
      <w:r w:rsidRPr="00546627">
        <w:rPr>
          <w:szCs w:val="21"/>
        </w:rPr>
        <w:br/>
      </w:r>
      <w:r w:rsidRPr="00546627">
        <w:rPr>
          <w:color w:val="1A1A1A"/>
          <w:szCs w:val="21"/>
        </w:rPr>
        <w:t>Murilo Klein Rauber</w:t>
      </w:r>
      <w:r w:rsidRPr="00546627">
        <w:rPr>
          <w:color w:val="1A1A1A"/>
          <w:szCs w:val="21"/>
          <w:vertAlign w:val="superscript"/>
        </w:rPr>
        <w:t>1</w:t>
      </w:r>
      <w:r w:rsidRPr="00546627">
        <w:rPr>
          <w:szCs w:val="21"/>
        </w:rPr>
        <w:br/>
      </w:r>
      <w:r w:rsidRPr="00546627">
        <w:rPr>
          <w:color w:val="1A1A1A"/>
          <w:szCs w:val="21"/>
        </w:rPr>
        <w:t>Yasmin Ymay Girardi</w:t>
      </w:r>
      <w:r w:rsidRPr="00546627">
        <w:rPr>
          <w:color w:val="1A1A1A"/>
          <w:szCs w:val="21"/>
          <w:vertAlign w:val="superscript"/>
        </w:rPr>
        <w:t>1</w:t>
      </w:r>
      <w:r w:rsidRPr="00546627">
        <w:rPr>
          <w:szCs w:val="21"/>
        </w:rPr>
        <w:br/>
      </w:r>
      <w:r w:rsidRPr="00546627">
        <w:rPr>
          <w:color w:val="1A1A1A"/>
          <w:szCs w:val="21"/>
        </w:rPr>
        <w:t>Marcela Rodrigues Nunes</w:t>
      </w:r>
      <w:r w:rsidRPr="00546627">
        <w:rPr>
          <w:color w:val="1A1A1A"/>
          <w:szCs w:val="21"/>
          <w:vertAlign w:val="superscript"/>
        </w:rPr>
        <w:t>2</w:t>
      </w:r>
      <w:r w:rsidRPr="00546627">
        <w:rPr>
          <w:szCs w:val="21"/>
        </w:rPr>
        <w:br/>
      </w:r>
      <w:r w:rsidRPr="00546627">
        <w:rPr>
          <w:color w:val="1A1A1A"/>
          <w:szCs w:val="21"/>
        </w:rPr>
        <w:t>Bibiana Mello de Oliveira</w:t>
      </w:r>
      <w:r w:rsidRPr="00546627">
        <w:rPr>
          <w:color w:val="1A1A1A"/>
          <w:szCs w:val="21"/>
          <w:vertAlign w:val="superscript"/>
        </w:rPr>
        <w:t>3</w:t>
      </w:r>
    </w:p>
    <w:p w:rsidR="000B5910" w:rsidRDefault="00057F5C" w:rsidP="00546627">
      <w:pPr>
        <w:spacing w:before="160" w:after="100" w:line="240" w:lineRule="auto"/>
      </w:pPr>
      <w:r>
        <w:rPr>
          <w:b/>
          <w:color w:val="1A1A1A"/>
          <w:sz w:val="22"/>
          <w:szCs w:val="24"/>
        </w:rPr>
        <w:t>RESUMO</w:t>
      </w:r>
    </w:p>
    <w:p w:rsidR="000B5910" w:rsidRPr="00546627" w:rsidRDefault="00057F5C" w:rsidP="00546627">
      <w:pPr>
        <w:spacing w:after="80" w:line="240" w:lineRule="auto"/>
        <w:jc w:val="both"/>
        <w:rPr>
          <w:szCs w:val="21"/>
        </w:rPr>
      </w:pPr>
      <w:r w:rsidRPr="00546627">
        <w:rPr>
          <w:b/>
          <w:color w:val="1A1A1A"/>
          <w:szCs w:val="21"/>
        </w:rPr>
        <w:t xml:space="preserve">Apresentação do Caso: </w:t>
      </w:r>
      <w:r w:rsidRPr="00546627">
        <w:rPr>
          <w:color w:val="1A1A1A"/>
          <w:szCs w:val="21"/>
        </w:rPr>
        <w:t>Paciente feminina, 11 anos, encaminhada à genética por cariótipo sugestivo de Síndrome de Turner (ST), realizado na mesma idade, já em uso de GH. Histórico de coarctação da aorta diagnosticada aos 4 meses por dificuldades para mamar, cianose perioral e fadiga aos esforços. Ao exame, apresentava valgismo cubital leve, nódulos subcutâneos em região inguinal, escápulas aladas, escoliose, múltiplos nevos em tronco e manchas café-com-leite em axila esquerda. Cariótipo revelou mosaicismo com duas linhagens celulares, incluindo cromossomo marcador não identificado (</w:t>
      </w:r>
      <w:proofErr w:type="gramStart"/>
      <w:r w:rsidRPr="00546627">
        <w:rPr>
          <w:color w:val="1A1A1A"/>
          <w:szCs w:val="21"/>
        </w:rPr>
        <w:t>46,X</w:t>
      </w:r>
      <w:proofErr w:type="gramEnd"/>
      <w:r w:rsidRPr="00546627">
        <w:rPr>
          <w:color w:val="1A1A1A"/>
          <w:szCs w:val="21"/>
        </w:rPr>
        <w:t xml:space="preserve">,+mar[17]/45,X[3]). Microarray identificou parte do cromossomo Y em uma das linhagens Yp11.2q12, incluindo o gene SRY. Foi realizada gonadectomia bilateral; anatomopatológico revelou ovários disgenéticos, constituídos somente por estroma, sem estruturas foliculares. </w:t>
      </w:r>
      <w:r w:rsidRPr="00546627">
        <w:rPr>
          <w:b/>
          <w:color w:val="1A1A1A"/>
          <w:szCs w:val="21"/>
        </w:rPr>
        <w:t>Discussão:</w:t>
      </w:r>
      <w:r w:rsidRPr="00546627">
        <w:rPr>
          <w:color w:val="1A1A1A"/>
          <w:szCs w:val="21"/>
        </w:rPr>
        <w:t xml:space="preserve"> A ST, anomalia cromossômica sexual mais comum em mulheres, ocorre por ausência parcial ou total de um dos cromossomos X, com incidência estimada de 1:2.500 nascidos vivos. É frequentemente diagnosticada no período pré-natal, por amniocentese e amostragem de vilosidades coriônicas, ou logo após o nascimento, devido a dismorfias típicas. O diagnóstico também pode ser tardio, motivado por falha no crescimento ou puberdade atrasada. Manifestações incluem baixa estatura, alterações cardiovasculares e renais, perda auditiva e falência ovariana. Malformações cardíacas ocorrem em 44,5% dos casos, sendo válvula aórtica bicúspide e coarctação aórtica as mais frequentes. Anomalias renais acometem 30-40% dos pacientes, sendo as malformações do sistema coletor e rins em ferradura as mais prevalentes. Dismorfias incluem pescoço alado, displasia ungueal, palato em ogiva e encurtamento do quarto metacarpo. Complicações como hipotireoidismo, doenças autoimunes, metabólicas e desenvolvimento de gonadoblastoma estão associadas à ST. </w:t>
      </w:r>
      <w:r w:rsidRPr="00546627">
        <w:rPr>
          <w:b/>
          <w:color w:val="1A1A1A"/>
          <w:szCs w:val="21"/>
        </w:rPr>
        <w:t>Considerações finais:</w:t>
      </w:r>
      <w:r w:rsidRPr="00546627">
        <w:rPr>
          <w:color w:val="1A1A1A"/>
          <w:szCs w:val="21"/>
        </w:rPr>
        <w:t xml:space="preserve"> O caso reforça </w:t>
      </w:r>
      <w:proofErr w:type="gramStart"/>
      <w:r w:rsidRPr="00546627">
        <w:rPr>
          <w:color w:val="1A1A1A"/>
          <w:szCs w:val="21"/>
        </w:rPr>
        <w:t>a</w:t>
      </w:r>
      <w:proofErr w:type="gramEnd"/>
      <w:r w:rsidRPr="00546627">
        <w:rPr>
          <w:color w:val="1A1A1A"/>
          <w:szCs w:val="21"/>
        </w:rPr>
        <w:t xml:space="preserve"> importância do diagnóstico precoce e investigação complementar na ST, sobretudo nas formas em que há cromossomo marcador. A detecção de material </w:t>
      </w:r>
      <w:proofErr w:type="gramStart"/>
      <w:r w:rsidRPr="00546627">
        <w:rPr>
          <w:color w:val="1A1A1A"/>
          <w:szCs w:val="21"/>
        </w:rPr>
        <w:t>do</w:t>
      </w:r>
      <w:proofErr w:type="gramEnd"/>
      <w:r w:rsidRPr="00546627">
        <w:rPr>
          <w:color w:val="1A1A1A"/>
          <w:szCs w:val="21"/>
        </w:rPr>
        <w:t xml:space="preserve"> cromossomo Y e do gene SRY permitiu conduta preventiva com gonadectomia, reduzindo o risco de neoplasias germinativas, destacando a importância de investigações complementares frente a material cromossômico de origem indefinida. A terapia com GH contribui para minimizar o déficit estatural. O acompanhamento multidisciplinar é essencial para o manejo da ST, prevenindo complicações e melhorando a qualidade de vida.</w:t>
      </w:r>
    </w:p>
    <w:p w:rsidR="000B5910" w:rsidRDefault="000B5910" w:rsidP="00546627">
      <w:pPr>
        <w:pBdr>
          <w:bottom w:val="single" w:sz="4" w:space="2" w:color="808080"/>
        </w:pBdr>
        <w:spacing w:before="80" w:after="40" w:line="240" w:lineRule="auto"/>
      </w:pPr>
    </w:p>
    <w:p w:rsidR="000B5910" w:rsidRPr="00546627" w:rsidRDefault="00057F5C" w:rsidP="00546627">
      <w:pPr>
        <w:spacing w:after="0" w:line="240" w:lineRule="auto"/>
        <w:rPr>
          <w:sz w:val="16"/>
          <w:szCs w:val="16"/>
        </w:rPr>
      </w:pPr>
      <w:r w:rsidRPr="00546627">
        <w:rPr>
          <w:color w:val="595959"/>
          <w:sz w:val="16"/>
          <w:szCs w:val="16"/>
          <w:vertAlign w:val="superscript"/>
        </w:rPr>
        <w:t>1</w:t>
      </w:r>
      <w:r w:rsidRPr="00546627">
        <w:rPr>
          <w:color w:val="595959"/>
          <w:sz w:val="16"/>
          <w:szCs w:val="16"/>
        </w:rPr>
        <w:t xml:space="preserve"> Universidade Luterana do Brasil (ULBRA</w:t>
      </w:r>
    </w:p>
    <w:p w:rsidR="000B5910" w:rsidRPr="00546627" w:rsidRDefault="00057F5C" w:rsidP="00546627">
      <w:pPr>
        <w:spacing w:after="0" w:line="240" w:lineRule="auto"/>
        <w:rPr>
          <w:sz w:val="16"/>
          <w:szCs w:val="16"/>
        </w:rPr>
      </w:pPr>
      <w:r w:rsidRPr="00546627">
        <w:rPr>
          <w:color w:val="595959"/>
          <w:sz w:val="16"/>
          <w:szCs w:val="16"/>
          <w:vertAlign w:val="superscript"/>
        </w:rPr>
        <w:t>2</w:t>
      </w:r>
      <w:r w:rsidRPr="00546627">
        <w:rPr>
          <w:color w:val="595959"/>
          <w:sz w:val="16"/>
          <w:szCs w:val="16"/>
        </w:rPr>
        <w:t xml:space="preserve"> Hospital da Criança Santo Antônio</w:t>
      </w:r>
    </w:p>
    <w:p w:rsidR="000B5910" w:rsidRPr="00546627" w:rsidRDefault="00057F5C" w:rsidP="00546627">
      <w:pPr>
        <w:spacing w:after="0" w:line="240" w:lineRule="auto"/>
        <w:rPr>
          <w:sz w:val="16"/>
          <w:szCs w:val="16"/>
        </w:rPr>
      </w:pPr>
      <w:r w:rsidRPr="00546627">
        <w:rPr>
          <w:color w:val="595959"/>
          <w:sz w:val="16"/>
          <w:szCs w:val="16"/>
          <w:vertAlign w:val="superscript"/>
        </w:rPr>
        <w:t>3</w:t>
      </w:r>
      <w:r w:rsidRPr="00546627">
        <w:rPr>
          <w:color w:val="595959"/>
          <w:sz w:val="16"/>
          <w:szCs w:val="16"/>
        </w:rPr>
        <w:t xml:space="preserve"> Universidade Federal de Ciências da Saúde de Porto Alegre</w:t>
      </w:r>
    </w:p>
    <w:p w:rsidR="000B5910" w:rsidRDefault="000B5910">
      <w:pPr>
        <w:sectPr w:rsidR="000B5910">
          <w:headerReference w:type="default" r:id="rId221"/>
          <w:footerReference w:type="default" r:id="rId22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DISTÚRBIO EPIGENÉTICO DO CRESCIMENTO COM HIPOGLICEMIA NEONATAL: RELATO DE DOIS CASOS DE SÍNDROME DE BECKWITH-WIEDEMANN</w:t>
      </w:r>
    </w:p>
    <w:p w:rsidR="000B5910" w:rsidRPr="00546627" w:rsidRDefault="00057F5C">
      <w:pPr>
        <w:spacing w:after="40" w:line="252" w:lineRule="auto"/>
        <w:jc w:val="right"/>
        <w:rPr>
          <w:szCs w:val="21"/>
        </w:rPr>
      </w:pPr>
      <w:r w:rsidRPr="00546627">
        <w:rPr>
          <w:color w:val="1A1A1A"/>
          <w:szCs w:val="21"/>
        </w:rPr>
        <w:t>Nândrea da Silva Vestefal</w:t>
      </w:r>
      <w:r w:rsidRPr="00546627">
        <w:rPr>
          <w:color w:val="1A1A1A"/>
          <w:szCs w:val="21"/>
          <w:vertAlign w:val="superscript"/>
        </w:rPr>
        <w:t>1</w:t>
      </w:r>
      <w:r w:rsidRPr="00546627">
        <w:rPr>
          <w:szCs w:val="21"/>
        </w:rPr>
        <w:br/>
      </w:r>
      <w:r w:rsidRPr="00546627">
        <w:rPr>
          <w:color w:val="1A1A1A"/>
          <w:szCs w:val="21"/>
        </w:rPr>
        <w:t>Ana Luisa Becchi Fadoni</w:t>
      </w:r>
      <w:r w:rsidRPr="00546627">
        <w:rPr>
          <w:color w:val="1A1A1A"/>
          <w:szCs w:val="21"/>
          <w:vertAlign w:val="superscript"/>
        </w:rPr>
        <w:t>1</w:t>
      </w:r>
      <w:r w:rsidRPr="00546627">
        <w:rPr>
          <w:szCs w:val="21"/>
        </w:rPr>
        <w:br/>
      </w:r>
      <w:r w:rsidRPr="00546627">
        <w:rPr>
          <w:color w:val="1A1A1A"/>
          <w:szCs w:val="21"/>
        </w:rPr>
        <w:t>Fernanda Camila Bassetto</w:t>
      </w:r>
      <w:r w:rsidRPr="00546627">
        <w:rPr>
          <w:color w:val="1A1A1A"/>
          <w:szCs w:val="21"/>
          <w:vertAlign w:val="superscript"/>
        </w:rPr>
        <w:t>1</w:t>
      </w:r>
      <w:r w:rsidRPr="00546627">
        <w:rPr>
          <w:szCs w:val="21"/>
        </w:rPr>
        <w:br/>
      </w:r>
      <w:r w:rsidRPr="00546627">
        <w:rPr>
          <w:color w:val="1A1A1A"/>
          <w:szCs w:val="21"/>
        </w:rPr>
        <w:t>Paulo Ricardo Gazzola Zen</w:t>
      </w:r>
      <w:r w:rsidRPr="00546627">
        <w:rPr>
          <w:color w:val="1A1A1A"/>
          <w:szCs w:val="21"/>
          <w:vertAlign w:val="superscript"/>
        </w:rPr>
        <w:t>1</w:t>
      </w:r>
      <w:r w:rsidRPr="00546627">
        <w:rPr>
          <w:szCs w:val="21"/>
        </w:rPr>
        <w:br/>
      </w:r>
      <w:r w:rsidRPr="00546627">
        <w:rPr>
          <w:color w:val="1A1A1A"/>
          <w:szCs w:val="21"/>
        </w:rPr>
        <w:t>Bibiana Mello de Oliveira</w:t>
      </w:r>
      <w:r w:rsidRPr="00546627">
        <w:rPr>
          <w:color w:val="1A1A1A"/>
          <w:szCs w:val="21"/>
          <w:vertAlign w:val="superscript"/>
        </w:rPr>
        <w:t>1</w:t>
      </w:r>
    </w:p>
    <w:p w:rsidR="000B5910" w:rsidRDefault="00057F5C">
      <w:pPr>
        <w:spacing w:before="240" w:after="100"/>
      </w:pPr>
      <w:r>
        <w:rPr>
          <w:b/>
          <w:color w:val="1A1A1A"/>
          <w:sz w:val="22"/>
        </w:rPr>
        <w:t>RESUMO</w:t>
      </w:r>
    </w:p>
    <w:p w:rsidR="000B5910" w:rsidRPr="00546627" w:rsidRDefault="00057F5C">
      <w:pPr>
        <w:spacing w:after="80"/>
        <w:jc w:val="both"/>
        <w:rPr>
          <w:sz w:val="22"/>
        </w:rPr>
      </w:pPr>
      <w:r w:rsidRPr="00546627">
        <w:rPr>
          <w:b/>
          <w:color w:val="1A1A1A"/>
          <w:sz w:val="22"/>
        </w:rPr>
        <w:t xml:space="preserve">Apresentação do Caso: </w:t>
      </w:r>
      <w:r w:rsidRPr="00546627">
        <w:rPr>
          <w:color w:val="1A1A1A"/>
          <w:sz w:val="22"/>
        </w:rPr>
        <w:t xml:space="preserve">Descrevemos dois casos de Síndrome de Beckwith-Wiedemann (SBW). Caso 1: Paciente feminina. Nascida prematura de 31 semanas, apresentou sepse neonatal e hipoglicemias neonatais, necessitando de internação em UTI por 6 semanas. Macroglossia, hérnia umbilical, hemangioma em fronte, hepatomegalia e aumento do volume abdominal foram observados, aventando a hipótese de SBW aos 3 meses e 29 dias. Caso 2: Paciente feminina. Histórico de hipoglicemia neonatal, macroglossia, nefromegalia e hemi-hipertrofia (com necessidade de epifisiodese), além de diástase de retos abdominais e sindactilia, que levaram ao diagnóstico clínico de SBW aos 5 anos. </w:t>
      </w:r>
      <w:r w:rsidRPr="00546627">
        <w:rPr>
          <w:b/>
          <w:color w:val="1A1A1A"/>
          <w:sz w:val="22"/>
        </w:rPr>
        <w:t xml:space="preserve">Discussão: </w:t>
      </w:r>
      <w:proofErr w:type="gramStart"/>
      <w:r w:rsidRPr="00546627">
        <w:rPr>
          <w:color w:val="1A1A1A"/>
          <w:sz w:val="22"/>
        </w:rPr>
        <w:t>A</w:t>
      </w:r>
      <w:proofErr w:type="gramEnd"/>
      <w:r w:rsidRPr="00546627">
        <w:rPr>
          <w:color w:val="1A1A1A"/>
          <w:sz w:val="22"/>
        </w:rPr>
        <w:t xml:space="preserve"> SBW é um distúrbio do crescimento com importantes implicações endocrinológicas, decorrente de alterações epigenéticas na região 11p15. Essas alterações afetam genes que regulam o crescimento, como o IGF2, resultando em características como macrossomia e hemi-hipertrofia. A hipoglicemia neonatal é uma das manifestações endocrinológicas mais críticas da SBW, frequentemente associada a hiperinsulinismo transitório. Os casos ilustram dois cenários clínicos: O primeiro caso ilustra </w:t>
      </w:r>
      <w:proofErr w:type="gramStart"/>
      <w:r w:rsidRPr="00546627">
        <w:rPr>
          <w:color w:val="1A1A1A"/>
          <w:sz w:val="22"/>
        </w:rPr>
        <w:t>a</w:t>
      </w:r>
      <w:proofErr w:type="gramEnd"/>
      <w:r w:rsidRPr="00546627">
        <w:rPr>
          <w:color w:val="1A1A1A"/>
          <w:sz w:val="22"/>
        </w:rPr>
        <w:t xml:space="preserve"> importância do reconhecimento precoce dessa hipoglicemia, permitindo a instauração de um protocolo de acompanhamento e vigilância adequado, prevenindo danos neurológicos permanentes e o óbito. Em contraste, o segundo caso, diagnosticado tardiamente, demonstra que, embora a hipoglicemia neonatal possa se resolver, outras manifestações podem necessitar de intervenções complexas. O acompanhamento desses pacientes inclui monitoramento metabólico e vigilância para tumores embrionários, como hepatoblastoma e nefroblastoma. Protocolos de seguimento recomendam ultrassonografias abdominais periódicas e dosagem seriada de alfa-fetoproteína na infância, além de avaliação laboratorial com glicose e parâmetros renais e do metabolismo do cálcio, permitindo identificação precoce de tumores e demais complicações, possibilitando melhores desfechos. </w:t>
      </w:r>
      <w:r w:rsidRPr="00546627">
        <w:rPr>
          <w:b/>
          <w:color w:val="1A1A1A"/>
          <w:sz w:val="22"/>
        </w:rPr>
        <w:t>Considerações finais:</w:t>
      </w:r>
      <w:r w:rsidRPr="00546627">
        <w:rPr>
          <w:color w:val="1A1A1A"/>
          <w:sz w:val="22"/>
        </w:rPr>
        <w:t xml:space="preserve"> </w:t>
      </w:r>
      <w:proofErr w:type="gramStart"/>
      <w:r w:rsidRPr="00546627">
        <w:rPr>
          <w:color w:val="1A1A1A"/>
          <w:sz w:val="22"/>
        </w:rPr>
        <w:t>A</w:t>
      </w:r>
      <w:proofErr w:type="gramEnd"/>
      <w:r w:rsidRPr="00546627">
        <w:rPr>
          <w:color w:val="1A1A1A"/>
          <w:sz w:val="22"/>
        </w:rPr>
        <w:t xml:space="preserve"> SBW apresenta importantes repercussões endocrinológicas, particularmente hiperinsulinismo com hipoglicemia neonatal, condição potencialmente grave se não reconhecida precocemente. Somado a isso, manifestações tardias e predisposição tumoral impactam a qualidade de vida, reforçando a necessidade de seguimento endocrinológico e multidisciplinar ao longo da vida.</w:t>
      </w:r>
    </w:p>
    <w:p w:rsidR="000B5910" w:rsidRDefault="000B5910">
      <w:pPr>
        <w:pBdr>
          <w:bottom w:val="single" w:sz="4" w:space="2" w:color="808080"/>
        </w:pBdr>
        <w:spacing w:before="16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Federal de Ciências da Saúde de Porto Alegre</w:t>
      </w:r>
    </w:p>
    <w:p w:rsidR="000B5910" w:rsidRDefault="000B5910">
      <w:pPr>
        <w:sectPr w:rsidR="000B5910">
          <w:headerReference w:type="default" r:id="rId223"/>
          <w:footerReference w:type="default" r:id="rId22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TENDÊNCIA TEMPORAL DA PUBERDADE PRECOCE CENTRAL NO SUL DO BRASIL: ANÁLISE DAS DISPENSAÇÕES DE ANÁLOGOS DE GNRH COMO PROXY EPIDEMIOLÓGICO</w:t>
      </w:r>
    </w:p>
    <w:p w:rsidR="000B5910" w:rsidRPr="00546627" w:rsidRDefault="00057F5C">
      <w:pPr>
        <w:spacing w:after="40" w:line="252" w:lineRule="auto"/>
        <w:jc w:val="right"/>
        <w:rPr>
          <w:szCs w:val="21"/>
        </w:rPr>
      </w:pPr>
      <w:r w:rsidRPr="00546627">
        <w:rPr>
          <w:color w:val="1A1A1A"/>
          <w:szCs w:val="21"/>
        </w:rPr>
        <w:t>Gustavo Ianzer Moraes</w:t>
      </w:r>
      <w:r w:rsidRPr="00546627">
        <w:rPr>
          <w:color w:val="1A1A1A"/>
          <w:szCs w:val="21"/>
          <w:vertAlign w:val="superscript"/>
        </w:rPr>
        <w:t>1</w:t>
      </w:r>
      <w:r w:rsidRPr="00546627">
        <w:rPr>
          <w:szCs w:val="21"/>
        </w:rPr>
        <w:br/>
      </w:r>
      <w:r w:rsidRPr="00546627">
        <w:rPr>
          <w:color w:val="1A1A1A"/>
          <w:szCs w:val="21"/>
        </w:rPr>
        <w:t>Laila Zanchi Younan</w:t>
      </w:r>
      <w:r w:rsidRPr="00546627">
        <w:rPr>
          <w:color w:val="1A1A1A"/>
          <w:szCs w:val="21"/>
          <w:vertAlign w:val="superscript"/>
        </w:rPr>
        <w:t>1</w:t>
      </w:r>
      <w:r w:rsidRPr="00546627">
        <w:rPr>
          <w:szCs w:val="21"/>
        </w:rPr>
        <w:br/>
      </w:r>
      <w:r w:rsidRPr="00546627">
        <w:rPr>
          <w:color w:val="1A1A1A"/>
          <w:szCs w:val="21"/>
        </w:rPr>
        <w:t>Anna Letícia Coutinho dos Santos Valladares</w:t>
      </w:r>
      <w:r w:rsidRPr="00546627">
        <w:rPr>
          <w:color w:val="1A1A1A"/>
          <w:szCs w:val="21"/>
          <w:vertAlign w:val="superscript"/>
        </w:rPr>
        <w:t>1</w:t>
      </w:r>
      <w:r w:rsidRPr="00546627">
        <w:rPr>
          <w:szCs w:val="21"/>
        </w:rPr>
        <w:br/>
      </w:r>
      <w:r w:rsidRPr="00546627">
        <w:rPr>
          <w:color w:val="1A1A1A"/>
          <w:szCs w:val="21"/>
        </w:rPr>
        <w:t>Eduardo Ianzer Moraes</w:t>
      </w:r>
      <w:r w:rsidRPr="00546627">
        <w:rPr>
          <w:color w:val="1A1A1A"/>
          <w:szCs w:val="21"/>
          <w:vertAlign w:val="superscript"/>
        </w:rPr>
        <w:t>1</w:t>
      </w:r>
      <w:r w:rsidRPr="00546627">
        <w:rPr>
          <w:szCs w:val="21"/>
        </w:rPr>
        <w:br/>
      </w:r>
      <w:r w:rsidRPr="00546627">
        <w:rPr>
          <w:color w:val="1A1A1A"/>
          <w:szCs w:val="21"/>
        </w:rPr>
        <w:t>Mariana Manfredi</w:t>
      </w:r>
      <w:r w:rsidRPr="00546627">
        <w:rPr>
          <w:color w:val="1A1A1A"/>
          <w:szCs w:val="21"/>
          <w:vertAlign w:val="superscript"/>
        </w:rPr>
        <w:t>1</w:t>
      </w:r>
    </w:p>
    <w:p w:rsidR="000B5910" w:rsidRDefault="00057F5C">
      <w:pPr>
        <w:spacing w:before="240" w:after="100"/>
      </w:pPr>
      <w:r>
        <w:rPr>
          <w:b/>
          <w:color w:val="1A1A1A"/>
          <w:sz w:val="22"/>
        </w:rPr>
        <w:t>RESUMO</w:t>
      </w:r>
    </w:p>
    <w:p w:rsidR="000B5910" w:rsidRPr="00546627" w:rsidRDefault="00057F5C">
      <w:pPr>
        <w:spacing w:after="80"/>
        <w:jc w:val="both"/>
        <w:rPr>
          <w:sz w:val="22"/>
        </w:rPr>
      </w:pPr>
      <w:r w:rsidRPr="00546627">
        <w:rPr>
          <w:b/>
          <w:color w:val="1A1A1A"/>
          <w:sz w:val="22"/>
        </w:rPr>
        <w:t>Introdução:</w:t>
      </w:r>
      <w:r w:rsidRPr="00546627">
        <w:rPr>
          <w:color w:val="1A1A1A"/>
          <w:sz w:val="22"/>
        </w:rPr>
        <w:t xml:space="preserve"> Puberdade precoce é definida como desenvolvimento de caracteres sexuais secundários antes dos 8 anos em meninas e antes dos 9 anos em meninos. Leuprorrelina e triptorrelina são análogos de GnRH que, ao suprimir a pulsatilidade fisiológica do eixo hipotálamo-hipófise-gonadal, inibem a secreção de gonadotrofinas e a progressão puberal, constituindo o tratamento padrão da puberdade precoce central (PPC). </w:t>
      </w:r>
      <w:r w:rsidRPr="00546627">
        <w:rPr>
          <w:b/>
          <w:color w:val="1A1A1A"/>
          <w:sz w:val="22"/>
        </w:rPr>
        <w:t>Objetivo:</w:t>
      </w:r>
      <w:r w:rsidRPr="00546627">
        <w:rPr>
          <w:color w:val="1A1A1A"/>
          <w:sz w:val="22"/>
        </w:rPr>
        <w:t xml:space="preserve"> Analisar a tendência temporal das dispensações de leuprorrelina e triptorrelina na Região Sul do Brasil como indicador indireto do diagnóstico de PPC. </w:t>
      </w:r>
      <w:r w:rsidRPr="00546627">
        <w:rPr>
          <w:b/>
          <w:color w:val="1A1A1A"/>
          <w:sz w:val="22"/>
        </w:rPr>
        <w:t>Métodos:</w:t>
      </w:r>
      <w:r w:rsidRPr="00546627">
        <w:rPr>
          <w:color w:val="1A1A1A"/>
          <w:sz w:val="22"/>
        </w:rPr>
        <w:t xml:space="preserve"> Estudo ecológico de série temporal com dados extraídos em março de 2026 do SIA/SUS. Foram incluídas todas as apresentações de leuprorrelina e triptorrelina dispensadas pelo SUS no PR, SC e RS, na faixa etária de 0 a 14 anos, de 2010 a 2025. As dispensações foram expressas em taxas por 100.000 habitantes com projeções populacionais do IBGE (edição 2024). Aplicou-se regressão joinpoint com IC 95% para identificação de pontos de mudança de tendência*</w:t>
      </w:r>
      <w:proofErr w:type="gramStart"/>
      <w:r w:rsidRPr="00546627">
        <w:rPr>
          <w:color w:val="1A1A1A"/>
          <w:sz w:val="22"/>
        </w:rPr>
        <w:t>*.*</w:t>
      </w:r>
      <w:proofErr w:type="gramEnd"/>
      <w:r w:rsidRPr="00546627">
        <w:rPr>
          <w:color w:val="1A1A1A"/>
          <w:sz w:val="22"/>
        </w:rPr>
        <w:t xml:space="preserve">* </w:t>
      </w:r>
      <w:r w:rsidRPr="00546627">
        <w:rPr>
          <w:b/>
          <w:color w:val="1A1A1A"/>
          <w:sz w:val="22"/>
        </w:rPr>
        <w:t>Resultados:</w:t>
      </w:r>
      <w:r w:rsidRPr="00546627">
        <w:rPr>
          <w:color w:val="1A1A1A"/>
          <w:sz w:val="22"/>
        </w:rPr>
        <w:t xml:space="preserve"> Foram registradas 247.308 dispensações no período. A taxa por 100.000 habitantes cresceu de 201,4 em 2010 para 864,5 em 2022 (+329%), com ponto de inflexão identificado em 2022 pela regressão joinpoint. O segmento 2010–2022 apresentou crescimento significativo (APC +13,0%/ano; R²=0,82; p&lt;0,001), enquanto o segmento 2022–2025 demonstrou queda significativa (APC -12,9%/ano; R²=0,95; p=0,025), com taxa de 588,1 em 2025. O PR apresentou as maiores taxas (1.407,9/100.000 em 2022), seguido por SC (586,5) e RS (447,9). O sexo feminino representou 93,8% das dispensações. A queda pós-2022 foi significativa apenas no feminino (APC -13,4%/ano; p=0,023), não sendo observada significância no masculino (APC -6,8%/ano; p=0,151). </w:t>
      </w:r>
      <w:r w:rsidRPr="00546627">
        <w:rPr>
          <w:b/>
          <w:color w:val="1A1A1A"/>
          <w:sz w:val="22"/>
        </w:rPr>
        <w:t>Conclusão:</w:t>
      </w:r>
      <w:r w:rsidRPr="00546627">
        <w:rPr>
          <w:color w:val="1A1A1A"/>
          <w:sz w:val="22"/>
        </w:rPr>
        <w:t xml:space="preserve"> As taxas cresceram 329% entre 2010 e 2022, compatíveis com aumento expressivo no diagnóstico de PPC, mesmo com redução da população pediátrica. O pico em 2022 coincide com </w:t>
      </w:r>
      <w:proofErr w:type="gramStart"/>
      <w:r w:rsidRPr="00546627">
        <w:rPr>
          <w:color w:val="1A1A1A"/>
          <w:sz w:val="22"/>
        </w:rPr>
        <w:t>a</w:t>
      </w:r>
      <w:proofErr w:type="gramEnd"/>
      <w:r w:rsidRPr="00546627">
        <w:rPr>
          <w:color w:val="1A1A1A"/>
          <w:sz w:val="22"/>
        </w:rPr>
        <w:t xml:space="preserve"> incorporação de novas apresentações de leuprorrelina (2021) e triptorrelina (2022) ao SUS e a atualização do PCDT, fatores que podem ter ampliado o acesso e concentrado diagnósticos represados. A queda subsequente pode refletir a conclusão do ciclo terapêutico (média de 2–3 anos) e/ou estabilização da demanda. A marcante predominância feminina (~94%) e </w:t>
      </w:r>
      <w:proofErr w:type="gramStart"/>
      <w:r w:rsidRPr="00546627">
        <w:rPr>
          <w:color w:val="1A1A1A"/>
          <w:sz w:val="22"/>
        </w:rPr>
        <w:t>a</w:t>
      </w:r>
      <w:proofErr w:type="gramEnd"/>
      <w:r w:rsidRPr="00546627">
        <w:rPr>
          <w:color w:val="1A1A1A"/>
          <w:sz w:val="22"/>
        </w:rPr>
        <w:t xml:space="preserve"> ausência de significância na tendência masculina são consistentes com a literatura e suscitam reflexão sobre os determinantes sociais que motivam a busca por avaliação de PPC.</w:t>
      </w:r>
    </w:p>
    <w:p w:rsidR="000B5910" w:rsidRDefault="000B5910">
      <w:pPr>
        <w:pBdr>
          <w:bottom w:val="single" w:sz="4" w:space="2" w:color="808080"/>
        </w:pBdr>
        <w:spacing w:before="160" w:after="40"/>
      </w:pPr>
    </w:p>
    <w:p w:rsidR="000B5910" w:rsidRPr="00546627" w:rsidRDefault="00057F5C">
      <w:pPr>
        <w:spacing w:after="0" w:line="252" w:lineRule="auto"/>
        <w:rPr>
          <w:sz w:val="16"/>
          <w:szCs w:val="16"/>
        </w:rPr>
      </w:pPr>
      <w:r w:rsidRPr="00546627">
        <w:rPr>
          <w:color w:val="595959"/>
          <w:sz w:val="16"/>
          <w:szCs w:val="16"/>
          <w:vertAlign w:val="superscript"/>
        </w:rPr>
        <w:t>1</w:t>
      </w:r>
      <w:r w:rsidRPr="00546627">
        <w:rPr>
          <w:color w:val="595959"/>
          <w:sz w:val="16"/>
          <w:szCs w:val="16"/>
        </w:rPr>
        <w:t xml:space="preserve"> Universidade Federal do Rio Grande - FURG</w:t>
      </w:r>
    </w:p>
    <w:p w:rsidR="000B5910" w:rsidRDefault="000B5910">
      <w:pPr>
        <w:sectPr w:rsidR="000B5910">
          <w:headerReference w:type="default" r:id="rId225"/>
          <w:footerReference w:type="default" r:id="rId22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RECIDIVA PRECOCE DE RABDOMIOSSARCOMA COM INFILTRAÇÃO HIPOFISÁRIA E DISFUNÇÃO ENDÓCRINA CENTRAL: RELATO DE CASO</w:t>
      </w:r>
    </w:p>
    <w:p w:rsidR="000B5910" w:rsidRPr="004D2F29" w:rsidRDefault="00057F5C">
      <w:pPr>
        <w:spacing w:after="40" w:line="252" w:lineRule="auto"/>
        <w:jc w:val="right"/>
        <w:rPr>
          <w:szCs w:val="21"/>
        </w:rPr>
      </w:pPr>
      <w:r w:rsidRPr="004D2F29">
        <w:rPr>
          <w:color w:val="1A1A1A"/>
          <w:szCs w:val="21"/>
        </w:rPr>
        <w:t>Amanda Pavan</w:t>
      </w:r>
      <w:r w:rsidRPr="004D2F29">
        <w:rPr>
          <w:color w:val="1A1A1A"/>
          <w:szCs w:val="21"/>
          <w:vertAlign w:val="superscript"/>
        </w:rPr>
        <w:t>1</w:t>
      </w:r>
      <w:r w:rsidRPr="004D2F29">
        <w:rPr>
          <w:szCs w:val="21"/>
        </w:rPr>
        <w:br/>
      </w:r>
      <w:r w:rsidRPr="004D2F29">
        <w:rPr>
          <w:color w:val="1A1A1A"/>
          <w:szCs w:val="21"/>
        </w:rPr>
        <w:t>Claire Krieger Gomes</w:t>
      </w:r>
      <w:r w:rsidRPr="004D2F29">
        <w:rPr>
          <w:color w:val="1A1A1A"/>
          <w:szCs w:val="21"/>
          <w:vertAlign w:val="superscript"/>
        </w:rPr>
        <w:t>1</w:t>
      </w:r>
      <w:r w:rsidRPr="004D2F29">
        <w:rPr>
          <w:szCs w:val="21"/>
        </w:rPr>
        <w:br/>
      </w:r>
      <w:r w:rsidRPr="004D2F29">
        <w:rPr>
          <w:color w:val="1A1A1A"/>
          <w:szCs w:val="21"/>
        </w:rPr>
        <w:t>Kelly Johana Rincón Torres</w:t>
      </w:r>
      <w:r w:rsidRPr="004D2F29">
        <w:rPr>
          <w:color w:val="1A1A1A"/>
          <w:szCs w:val="21"/>
          <w:vertAlign w:val="superscript"/>
        </w:rPr>
        <w:t>1</w:t>
      </w:r>
      <w:r w:rsidRPr="004D2F29">
        <w:rPr>
          <w:szCs w:val="21"/>
        </w:rPr>
        <w:br/>
      </w:r>
      <w:r w:rsidRPr="004D2F29">
        <w:rPr>
          <w:color w:val="1A1A1A"/>
          <w:szCs w:val="21"/>
        </w:rPr>
        <w:t>Lucas Faleiro</w:t>
      </w:r>
      <w:r w:rsidRPr="004D2F29">
        <w:rPr>
          <w:color w:val="1A1A1A"/>
          <w:szCs w:val="21"/>
          <w:vertAlign w:val="superscript"/>
        </w:rPr>
        <w:t>1</w:t>
      </w:r>
      <w:r w:rsidRPr="004D2F29">
        <w:rPr>
          <w:szCs w:val="21"/>
        </w:rPr>
        <w:br/>
      </w:r>
      <w:r w:rsidRPr="004D2F29">
        <w:rPr>
          <w:color w:val="1A1A1A"/>
          <w:szCs w:val="21"/>
        </w:rPr>
        <w:t>Cristiane Kopacek</w:t>
      </w:r>
      <w:r w:rsidRPr="004D2F29">
        <w:rPr>
          <w:color w:val="1A1A1A"/>
          <w:szCs w:val="21"/>
          <w:vertAlign w:val="superscript"/>
        </w:rPr>
        <w:t>2</w:t>
      </w:r>
      <w:r w:rsidRPr="004D2F29">
        <w:rPr>
          <w:szCs w:val="21"/>
        </w:rPr>
        <w:br/>
      </w:r>
      <w:r w:rsidRPr="004D2F29">
        <w:rPr>
          <w:color w:val="1A1A1A"/>
          <w:szCs w:val="21"/>
        </w:rPr>
        <w:t>Julia Fernanda Semmelmann Pereira Lima</w:t>
      </w:r>
      <w:r w:rsidRPr="004D2F29">
        <w:rPr>
          <w:color w:val="1A1A1A"/>
          <w:szCs w:val="21"/>
          <w:vertAlign w:val="superscript"/>
        </w:rPr>
        <w:t>1</w:t>
      </w:r>
      <w:r w:rsidRPr="004D2F29">
        <w:rPr>
          <w:szCs w:val="21"/>
        </w:rPr>
        <w:br/>
      </w:r>
      <w:r w:rsidRPr="004D2F29">
        <w:rPr>
          <w:color w:val="1A1A1A"/>
          <w:szCs w:val="21"/>
        </w:rPr>
        <w:t>Carolina Garcia Soares Leães Rech</w:t>
      </w:r>
      <w:r w:rsidRPr="004D2F29">
        <w:rPr>
          <w:color w:val="1A1A1A"/>
          <w:szCs w:val="21"/>
          <w:vertAlign w:val="superscript"/>
        </w:rPr>
        <w:t>1</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 xml:space="preserve">Apresentação do Caso: </w:t>
      </w:r>
      <w:r w:rsidRPr="004D2F29">
        <w:rPr>
          <w:color w:val="1A1A1A"/>
          <w:sz w:val="22"/>
        </w:rPr>
        <w:t xml:space="preserve">Paciente feminina, 5 anos, com diagnóstico prévio de rabdomiossarcoma (RMS) embrionário de naso-orofaringe em remissão após quimioterapia e radioterapia em </w:t>
      </w:r>
      <w:proofErr w:type="gramStart"/>
      <w:r w:rsidRPr="004D2F29">
        <w:rPr>
          <w:color w:val="1A1A1A"/>
          <w:sz w:val="22"/>
        </w:rPr>
        <w:t>2024,com</w:t>
      </w:r>
      <w:proofErr w:type="gramEnd"/>
      <w:r w:rsidRPr="004D2F29">
        <w:rPr>
          <w:color w:val="1A1A1A"/>
          <w:sz w:val="22"/>
        </w:rPr>
        <w:t xml:space="preserve"> ressonância magnética de controle em dezembro de 2025 sem evidência de doença residual. Iniciou em janeiro de 2026 com estrabismo, sendo identificada recidiva tumoral (4,8×3,2cm) com invasão da base </w:t>
      </w:r>
      <w:proofErr w:type="gramStart"/>
      <w:r w:rsidRPr="004D2F29">
        <w:rPr>
          <w:color w:val="1A1A1A"/>
          <w:sz w:val="22"/>
        </w:rPr>
        <w:t>do</w:t>
      </w:r>
      <w:proofErr w:type="gramEnd"/>
      <w:r w:rsidRPr="004D2F29">
        <w:rPr>
          <w:color w:val="1A1A1A"/>
          <w:sz w:val="22"/>
        </w:rPr>
        <w:t xml:space="preserve"> crânio, incluindo região esfenoidal, seio cavernoso, clivus e extensão para sela turca. Em março evoluiu com exoftalmia e desvio ocular à direita, associados </w:t>
      </w:r>
      <w:proofErr w:type="gramStart"/>
      <w:r w:rsidRPr="004D2F29">
        <w:rPr>
          <w:color w:val="1A1A1A"/>
          <w:sz w:val="22"/>
        </w:rPr>
        <w:t>a</w:t>
      </w:r>
      <w:proofErr w:type="gramEnd"/>
      <w:r w:rsidRPr="004D2F29">
        <w:rPr>
          <w:color w:val="1A1A1A"/>
          <w:sz w:val="22"/>
        </w:rPr>
        <w:t xml:space="preserve"> alteração comportamental e progressão tumoral (5,8×4,4cm). Observou-se extensão orbitária direita, compressão paraselar, infiltração da sela turca e cisterna suprasselar, espessamento da haste hipofisária e edema em lobo temporal ipsilateral. Na avaliação laboratorial identificou-se hipotireoidismo central (TSH 0,04µUI/mL e T4 livre no limite inferior), sendo iniciada levotiroxina. </w:t>
      </w:r>
      <w:proofErr w:type="gramStart"/>
      <w:r w:rsidRPr="004D2F29">
        <w:rPr>
          <w:color w:val="1A1A1A"/>
          <w:sz w:val="22"/>
        </w:rPr>
        <w:t>A</w:t>
      </w:r>
      <w:proofErr w:type="gramEnd"/>
      <w:r w:rsidRPr="004D2F29">
        <w:rPr>
          <w:color w:val="1A1A1A"/>
          <w:sz w:val="22"/>
        </w:rPr>
        <w:t xml:space="preserve"> avaliação do eixo adrenal foi limitada pelo uso prévio de dexametasona em dose alta, optando-se por redução gradual até dose fisiológica, considerando risco de supressão do eixo hipotálamo-hipófise-adrenal. A paciente não apresentava diabetes insipidus (DI). </w:t>
      </w:r>
      <w:r w:rsidRPr="004D2F29">
        <w:rPr>
          <w:b/>
          <w:color w:val="1A1A1A"/>
          <w:sz w:val="22"/>
        </w:rPr>
        <w:t xml:space="preserve">Discussão: </w:t>
      </w:r>
      <w:r w:rsidRPr="004D2F29">
        <w:rPr>
          <w:color w:val="1A1A1A"/>
          <w:sz w:val="22"/>
        </w:rPr>
        <w:t xml:space="preserve">O RMS é o sarcoma de partes moles mais comum da infância (5–7%), sendo o subtipo embrionário o mais frequente. O acometimento hipotálamo-hipofisário é raro. Em lesões da haste hipofisária, o DI é a manifestação endócrina mais comum (82–91%). </w:t>
      </w:r>
      <w:proofErr w:type="gramStart"/>
      <w:r w:rsidRPr="004D2F29">
        <w:rPr>
          <w:color w:val="1A1A1A"/>
          <w:sz w:val="22"/>
        </w:rPr>
        <w:t>A</w:t>
      </w:r>
      <w:proofErr w:type="gramEnd"/>
      <w:r w:rsidRPr="004D2F29">
        <w:rPr>
          <w:color w:val="1A1A1A"/>
          <w:sz w:val="22"/>
        </w:rPr>
        <w:t xml:space="preserve"> ausência de DI nesta paciente, apesar do espessamento da haste, torna o caso incomum e ressalta a importância da vigilância clínica e laboratorial. A rápida progressão tumoral, com invasão selar em três meses, ilustra </w:t>
      </w:r>
      <w:proofErr w:type="gramStart"/>
      <w:r w:rsidRPr="004D2F29">
        <w:rPr>
          <w:color w:val="1A1A1A"/>
          <w:sz w:val="22"/>
        </w:rPr>
        <w:t>a</w:t>
      </w:r>
      <w:proofErr w:type="gramEnd"/>
      <w:r w:rsidRPr="004D2F29">
        <w:rPr>
          <w:color w:val="1A1A1A"/>
          <w:sz w:val="22"/>
        </w:rPr>
        <w:t xml:space="preserve"> agressividade da recidiva. </w:t>
      </w:r>
      <w:proofErr w:type="gramStart"/>
      <w:r w:rsidRPr="004D2F29">
        <w:rPr>
          <w:color w:val="1A1A1A"/>
          <w:sz w:val="22"/>
        </w:rPr>
        <w:t>A</w:t>
      </w:r>
      <w:proofErr w:type="gramEnd"/>
      <w:r w:rsidRPr="004D2F29">
        <w:rPr>
          <w:color w:val="1A1A1A"/>
          <w:sz w:val="22"/>
        </w:rPr>
        <w:t xml:space="preserve"> identificação de disfunções endócrinas pode ser desafiadora em pacientes graves, especialmente na presença de corticoterapia. </w:t>
      </w:r>
      <w:r w:rsidRPr="004D2F29">
        <w:rPr>
          <w:b/>
          <w:color w:val="1A1A1A"/>
          <w:sz w:val="22"/>
        </w:rPr>
        <w:t xml:space="preserve">Considerações finais: </w:t>
      </w:r>
      <w:r w:rsidRPr="004D2F29">
        <w:rPr>
          <w:color w:val="1A1A1A"/>
          <w:sz w:val="22"/>
        </w:rPr>
        <w:t xml:space="preserve">O caso ilustra </w:t>
      </w:r>
      <w:proofErr w:type="gramStart"/>
      <w:r w:rsidRPr="004D2F29">
        <w:rPr>
          <w:color w:val="1A1A1A"/>
          <w:sz w:val="22"/>
        </w:rPr>
        <w:t>a</w:t>
      </w:r>
      <w:proofErr w:type="gramEnd"/>
      <w:r w:rsidRPr="004D2F29">
        <w:rPr>
          <w:color w:val="1A1A1A"/>
          <w:sz w:val="22"/>
        </w:rPr>
        <w:t xml:space="preserve"> agressividade do RMS recidivado e a possibilidade de infiltração selar com disfunção hipofisária. O reconhecimento precoce do hipotireoidismo central e </w:t>
      </w:r>
      <w:proofErr w:type="gramStart"/>
      <w:r w:rsidRPr="004D2F29">
        <w:rPr>
          <w:color w:val="1A1A1A"/>
          <w:sz w:val="22"/>
        </w:rPr>
        <w:t>a</w:t>
      </w:r>
      <w:proofErr w:type="gramEnd"/>
      <w:r w:rsidRPr="004D2F29">
        <w:rPr>
          <w:color w:val="1A1A1A"/>
          <w:sz w:val="22"/>
        </w:rPr>
        <w:t xml:space="preserve"> avaliação do eixo adrenal são fundamentais. O monitoramento endócrino deve ser considerado em tumores da base </w:t>
      </w:r>
      <w:proofErr w:type="gramStart"/>
      <w:r w:rsidRPr="004D2F29">
        <w:rPr>
          <w:color w:val="1A1A1A"/>
          <w:sz w:val="22"/>
        </w:rPr>
        <w:t>do</w:t>
      </w:r>
      <w:proofErr w:type="gramEnd"/>
      <w:r w:rsidRPr="004D2F29">
        <w:rPr>
          <w:color w:val="1A1A1A"/>
          <w:sz w:val="22"/>
        </w:rPr>
        <w:t xml:space="preserve"> crânio com extensão paraselar, reforçando a importância da integração entre oncologia e endocrinologia pediátrica.</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Hospital da Criança Santo Antônio - Santa Casa de Porto Alegre</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Hospital Materno Infantil Presidente Vargas</w:t>
      </w:r>
    </w:p>
    <w:p w:rsidR="000B5910" w:rsidRDefault="000B5910">
      <w:pPr>
        <w:sectPr w:rsidR="000B5910">
          <w:headerReference w:type="default" r:id="rId227"/>
          <w:footerReference w:type="default" r:id="rId22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HIPONATREMIA GRAVE EM LACTENTE COM UROPATIA OBSTRUTIVA: PSEUDOHIPOALDOSTERONISMO TRANSITÓRIO</w:t>
      </w:r>
    </w:p>
    <w:p w:rsidR="000B5910" w:rsidRPr="004D2F29" w:rsidRDefault="00057F5C">
      <w:pPr>
        <w:spacing w:after="40" w:line="252" w:lineRule="auto"/>
        <w:jc w:val="right"/>
        <w:rPr>
          <w:szCs w:val="21"/>
        </w:rPr>
      </w:pPr>
      <w:r w:rsidRPr="004D2F29">
        <w:rPr>
          <w:color w:val="1A1A1A"/>
          <w:szCs w:val="21"/>
        </w:rPr>
        <w:t>Amanda Pavan</w:t>
      </w:r>
      <w:r w:rsidRPr="004D2F29">
        <w:rPr>
          <w:color w:val="1A1A1A"/>
          <w:szCs w:val="21"/>
          <w:vertAlign w:val="superscript"/>
        </w:rPr>
        <w:t>1</w:t>
      </w:r>
      <w:r w:rsidRPr="004D2F29">
        <w:rPr>
          <w:szCs w:val="21"/>
        </w:rPr>
        <w:br/>
      </w:r>
      <w:r w:rsidRPr="004D2F29">
        <w:rPr>
          <w:color w:val="1A1A1A"/>
          <w:szCs w:val="21"/>
        </w:rPr>
        <w:t>Claire Krieger Gomes</w:t>
      </w:r>
      <w:r w:rsidRPr="004D2F29">
        <w:rPr>
          <w:color w:val="1A1A1A"/>
          <w:szCs w:val="21"/>
          <w:vertAlign w:val="superscript"/>
        </w:rPr>
        <w:t>1</w:t>
      </w:r>
      <w:r w:rsidRPr="004D2F29">
        <w:rPr>
          <w:szCs w:val="21"/>
        </w:rPr>
        <w:br/>
      </w:r>
      <w:r w:rsidRPr="004D2F29">
        <w:rPr>
          <w:color w:val="1A1A1A"/>
          <w:szCs w:val="21"/>
        </w:rPr>
        <w:t>Lucas Faleiro</w:t>
      </w:r>
      <w:r w:rsidRPr="004D2F29">
        <w:rPr>
          <w:color w:val="1A1A1A"/>
          <w:szCs w:val="21"/>
          <w:vertAlign w:val="superscript"/>
        </w:rPr>
        <w:t>1</w:t>
      </w:r>
      <w:r w:rsidRPr="004D2F29">
        <w:rPr>
          <w:szCs w:val="21"/>
        </w:rPr>
        <w:br/>
      </w:r>
      <w:r w:rsidRPr="004D2F29">
        <w:rPr>
          <w:color w:val="1A1A1A"/>
          <w:szCs w:val="21"/>
        </w:rPr>
        <w:t>Kelly Johana Rincón Torres</w:t>
      </w:r>
      <w:r w:rsidRPr="004D2F29">
        <w:rPr>
          <w:color w:val="1A1A1A"/>
          <w:szCs w:val="21"/>
          <w:vertAlign w:val="superscript"/>
        </w:rPr>
        <w:t>2</w:t>
      </w:r>
      <w:r w:rsidRPr="004D2F29">
        <w:rPr>
          <w:szCs w:val="21"/>
        </w:rPr>
        <w:br/>
      </w:r>
      <w:r w:rsidRPr="004D2F29">
        <w:rPr>
          <w:color w:val="1A1A1A"/>
          <w:szCs w:val="21"/>
        </w:rPr>
        <w:t>Cristiane Kopacek</w:t>
      </w:r>
      <w:r w:rsidRPr="004D2F29">
        <w:rPr>
          <w:color w:val="1A1A1A"/>
          <w:szCs w:val="21"/>
          <w:vertAlign w:val="superscript"/>
        </w:rPr>
        <w:t>3</w:t>
      </w:r>
      <w:r w:rsidRPr="004D2F29">
        <w:rPr>
          <w:szCs w:val="21"/>
        </w:rPr>
        <w:br/>
      </w:r>
      <w:r w:rsidRPr="004D2F29">
        <w:rPr>
          <w:color w:val="1A1A1A"/>
          <w:szCs w:val="21"/>
        </w:rPr>
        <w:t>Julia Fernanda Semmelmann Pereira Lima</w:t>
      </w:r>
      <w:r w:rsidRPr="004D2F29">
        <w:rPr>
          <w:color w:val="1A1A1A"/>
          <w:szCs w:val="21"/>
          <w:vertAlign w:val="superscript"/>
        </w:rPr>
        <w:t>1</w:t>
      </w:r>
      <w:r w:rsidRPr="004D2F29">
        <w:rPr>
          <w:szCs w:val="21"/>
        </w:rPr>
        <w:br/>
      </w:r>
      <w:r w:rsidRPr="004D2F29">
        <w:rPr>
          <w:color w:val="1A1A1A"/>
          <w:szCs w:val="21"/>
        </w:rPr>
        <w:t>Carolina Garcia Soares Leães Rech</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szCs w:val="21"/>
        </w:rPr>
      </w:pPr>
      <w:r w:rsidRPr="004D2F29">
        <w:rPr>
          <w:b/>
          <w:color w:val="1A1A1A"/>
          <w:sz w:val="22"/>
          <w:szCs w:val="21"/>
        </w:rPr>
        <w:t xml:space="preserve">Apresentação do Caso: </w:t>
      </w:r>
      <w:r w:rsidRPr="004D2F29">
        <w:rPr>
          <w:color w:val="1A1A1A"/>
          <w:sz w:val="22"/>
          <w:szCs w:val="21"/>
        </w:rPr>
        <w:t xml:space="preserve">Lactente masculino, 6 meses, nascido com 37+5 semanas, sem intercorrências, em pós-operatório tardio de correção de estenose ureteropélvica, apresentou sódio de 112 mEq/L, sendo internado em UTIP para manejo. Na admissão: sódio 111 mEq/L, potássio 5,2 mEq/L, cortisol 20,5 μg/dL, renina 157, aldosterona 2065, creatinina 0,28 mg/dL, sódio urinário 16 mEq/L e gasometria com acidose metabólica, apresentando HCO3 de 11 mEq/L. Foi iniciada hidratação com soro fisiológico a 0,9% (50 mL/kg/dia) e hidrocortisona 50 mg/m2/dia, com elevação do sódio para 128 mEq/L após 24 horas. O volume parenteral foi suspenso e a hidrocortisona mantida por três dias. Posteriormente iniciou reposição enteral de sódio (1,2 g/dia) associada a fludrocortisona 0,05 mg/dia, com sódio de 132 mEq/L após três dias. Recebeu alta da UTI pediátrica com a suspensão da fludrocortisona e manutenção da reposição salina. Considerou-se o diagnóstico de pseudohipoaldosteronismo transitório. Descartada reestenose por ecografia, bem como infecção urinária por urocultura negativa. Evoluiu com sódio de 146 mEq/L, sem acidose metabólica, permitindo a suspensão da reposição. Manteve estabilidade clínica e laboratorial, recebendo alta hospitalar. </w:t>
      </w:r>
      <w:r w:rsidRPr="004D2F29">
        <w:rPr>
          <w:b/>
          <w:color w:val="1A1A1A"/>
          <w:sz w:val="22"/>
          <w:szCs w:val="21"/>
        </w:rPr>
        <w:t xml:space="preserve">Discussão: </w:t>
      </w:r>
      <w:r w:rsidRPr="004D2F29">
        <w:rPr>
          <w:color w:val="1A1A1A"/>
          <w:sz w:val="22"/>
          <w:szCs w:val="21"/>
        </w:rPr>
        <w:t xml:space="preserve">O pseudohipoaldosteronismo transitório é caracterizado por resistência tubular à ação da aldosterona, resultando em hiponatremia, hipercalemia e acidose metabólica, apesar de níveis elevados de renina e aldosterona. Em lactentes, está frequentemente associado </w:t>
      </w:r>
      <w:proofErr w:type="gramStart"/>
      <w:r w:rsidRPr="004D2F29">
        <w:rPr>
          <w:color w:val="1A1A1A"/>
          <w:sz w:val="22"/>
          <w:szCs w:val="21"/>
        </w:rPr>
        <w:t>a</w:t>
      </w:r>
      <w:proofErr w:type="gramEnd"/>
      <w:r w:rsidRPr="004D2F29">
        <w:rPr>
          <w:color w:val="1A1A1A"/>
          <w:sz w:val="22"/>
          <w:szCs w:val="21"/>
        </w:rPr>
        <w:t xml:space="preserve"> infecção urinária ou uropatias obstrutivas, decorrente do processo inflamatório e alteração estrutural. O caso relata hiponatremia grave associada </w:t>
      </w:r>
      <w:proofErr w:type="gramStart"/>
      <w:r w:rsidRPr="004D2F29">
        <w:rPr>
          <w:color w:val="1A1A1A"/>
          <w:sz w:val="22"/>
          <w:szCs w:val="21"/>
        </w:rPr>
        <w:t>a</w:t>
      </w:r>
      <w:proofErr w:type="gramEnd"/>
      <w:r w:rsidRPr="004D2F29">
        <w:rPr>
          <w:color w:val="1A1A1A"/>
          <w:sz w:val="22"/>
          <w:szCs w:val="21"/>
        </w:rPr>
        <w:t xml:space="preserve"> elevação de renina e aldosterona em lactente com história de uropatia obstrutiva. O diagnóstico diferencial inclui insuficiência adrenal e hiperplasia adrenal congênita perdedora de sal. Entretanto, níveis adequados de cortisol e </w:t>
      </w:r>
      <w:proofErr w:type="gramStart"/>
      <w:r w:rsidRPr="004D2F29">
        <w:rPr>
          <w:color w:val="1A1A1A"/>
          <w:sz w:val="22"/>
          <w:szCs w:val="21"/>
        </w:rPr>
        <w:t>a</w:t>
      </w:r>
      <w:proofErr w:type="gramEnd"/>
      <w:r w:rsidRPr="004D2F29">
        <w:rPr>
          <w:color w:val="1A1A1A"/>
          <w:sz w:val="22"/>
          <w:szCs w:val="21"/>
        </w:rPr>
        <w:t xml:space="preserve"> elevação de renina e aldosterona favorecem o diagnóstico de pseudohipoaldosteronismo. A melhora laboratorial após manejo reforça o caráter transitório da condição. </w:t>
      </w:r>
      <w:r w:rsidRPr="004D2F29">
        <w:rPr>
          <w:b/>
          <w:color w:val="1A1A1A"/>
          <w:sz w:val="22"/>
          <w:szCs w:val="21"/>
        </w:rPr>
        <w:t xml:space="preserve">Considerações finais: </w:t>
      </w:r>
      <w:r w:rsidRPr="004D2F29">
        <w:rPr>
          <w:color w:val="1A1A1A"/>
          <w:sz w:val="22"/>
          <w:szCs w:val="21"/>
        </w:rPr>
        <w:t xml:space="preserve">O pseudohipoaldosteronismo transitório deve ser considerado no diagnóstico diferencial de lactentes com hiponatremia grave e hipercalemia, particularmente na presença de uropatias. O reconhecimento precoce permite manejo adequado e evita investigação e tratamento desnecessários para insuficiência adrenal primária. </w:t>
      </w:r>
      <w:proofErr w:type="gramStart"/>
      <w:r w:rsidRPr="004D2F29">
        <w:rPr>
          <w:color w:val="1A1A1A"/>
          <w:sz w:val="22"/>
          <w:szCs w:val="21"/>
        </w:rPr>
        <w:t>A</w:t>
      </w:r>
      <w:proofErr w:type="gramEnd"/>
      <w:r w:rsidRPr="004D2F29">
        <w:rPr>
          <w:color w:val="1A1A1A"/>
          <w:sz w:val="22"/>
          <w:szCs w:val="21"/>
        </w:rPr>
        <w:t xml:space="preserve"> evolução favorável após correção hidroeletrolítica reforça o caráter reversível da doença.</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Hospital da Criança Santo Antônio - Santa Casa de Porto Alegre</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Hospital da Criança Santo Antônio – Santa Casa de Porto Alegre</w:t>
      </w:r>
    </w:p>
    <w:p w:rsidR="000B5910" w:rsidRPr="004D2F29" w:rsidRDefault="00057F5C">
      <w:pPr>
        <w:spacing w:after="0" w:line="252" w:lineRule="auto"/>
        <w:rPr>
          <w:sz w:val="16"/>
          <w:szCs w:val="16"/>
        </w:rPr>
      </w:pPr>
      <w:r w:rsidRPr="004D2F29">
        <w:rPr>
          <w:color w:val="595959"/>
          <w:sz w:val="16"/>
          <w:szCs w:val="16"/>
          <w:vertAlign w:val="superscript"/>
        </w:rPr>
        <w:t>3</w:t>
      </w:r>
      <w:r w:rsidRPr="004D2F29">
        <w:rPr>
          <w:color w:val="595959"/>
          <w:sz w:val="16"/>
          <w:szCs w:val="16"/>
        </w:rPr>
        <w:t xml:space="preserve"> Hospital Materno Infantil Presidente Vargas</w:t>
      </w:r>
    </w:p>
    <w:p w:rsidR="000B5910" w:rsidRDefault="000B5910">
      <w:pPr>
        <w:sectPr w:rsidR="000B5910">
          <w:headerReference w:type="default" r:id="rId229"/>
          <w:footerReference w:type="default" r:id="rId23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 xml:space="preserve">PAN-HIPOPITUITARISMO TRANSITÓRIO SECUNDÁRIO </w:t>
      </w:r>
      <w:proofErr w:type="gramStart"/>
      <w:r>
        <w:rPr>
          <w:b/>
          <w:color w:val="1A1A1A"/>
          <w:sz w:val="28"/>
          <w:szCs w:val="24"/>
        </w:rPr>
        <w:t>A</w:t>
      </w:r>
      <w:proofErr w:type="gramEnd"/>
      <w:r>
        <w:rPr>
          <w:b/>
          <w:color w:val="1A1A1A"/>
          <w:sz w:val="28"/>
          <w:szCs w:val="24"/>
        </w:rPr>
        <w:t xml:space="preserve"> ANOREXIA NERVOSA INFANTIL: UM RELATO DE CASO</w:t>
      </w:r>
    </w:p>
    <w:p w:rsidR="000B5910" w:rsidRPr="004D2F29" w:rsidRDefault="00057F5C">
      <w:pPr>
        <w:spacing w:after="40" w:line="252" w:lineRule="auto"/>
        <w:jc w:val="right"/>
        <w:rPr>
          <w:szCs w:val="21"/>
        </w:rPr>
      </w:pPr>
      <w:r w:rsidRPr="004D2F29">
        <w:rPr>
          <w:color w:val="1A1A1A"/>
          <w:szCs w:val="21"/>
        </w:rPr>
        <w:t>Laura Pedron de Camargo Aranha</w:t>
      </w:r>
      <w:r w:rsidRPr="004D2F29">
        <w:rPr>
          <w:color w:val="1A1A1A"/>
          <w:szCs w:val="21"/>
          <w:vertAlign w:val="superscript"/>
        </w:rPr>
        <w:t>1</w:t>
      </w:r>
      <w:r w:rsidRPr="004D2F29">
        <w:rPr>
          <w:szCs w:val="21"/>
        </w:rPr>
        <w:br/>
      </w:r>
      <w:r w:rsidRPr="004D2F29">
        <w:rPr>
          <w:color w:val="1A1A1A"/>
          <w:szCs w:val="21"/>
        </w:rPr>
        <w:t>Luisa Maria Losso</w:t>
      </w:r>
      <w:r w:rsidRPr="004D2F29">
        <w:rPr>
          <w:color w:val="1A1A1A"/>
          <w:szCs w:val="21"/>
          <w:vertAlign w:val="superscript"/>
        </w:rPr>
        <w:t>1</w:t>
      </w:r>
      <w:r w:rsidRPr="004D2F29">
        <w:rPr>
          <w:szCs w:val="21"/>
        </w:rPr>
        <w:br/>
      </w:r>
      <w:r w:rsidRPr="004D2F29">
        <w:rPr>
          <w:color w:val="1A1A1A"/>
          <w:szCs w:val="21"/>
        </w:rPr>
        <w:t>Gymaima Yasmin João Nehme</w:t>
      </w:r>
      <w:r w:rsidRPr="004D2F29">
        <w:rPr>
          <w:color w:val="1A1A1A"/>
          <w:szCs w:val="21"/>
          <w:vertAlign w:val="superscript"/>
        </w:rPr>
        <w:t>1</w:t>
      </w:r>
      <w:r w:rsidRPr="004D2F29">
        <w:rPr>
          <w:szCs w:val="21"/>
        </w:rPr>
        <w:br/>
      </w:r>
      <w:r w:rsidRPr="004D2F29">
        <w:rPr>
          <w:color w:val="1A1A1A"/>
          <w:szCs w:val="21"/>
        </w:rPr>
        <w:t>Luiza Borelli Ferreira Alves</w:t>
      </w:r>
      <w:r w:rsidRPr="004D2F29">
        <w:rPr>
          <w:color w:val="1A1A1A"/>
          <w:szCs w:val="21"/>
          <w:vertAlign w:val="superscript"/>
        </w:rPr>
        <w:t>1</w:t>
      </w:r>
      <w:r w:rsidRPr="004D2F29">
        <w:rPr>
          <w:szCs w:val="21"/>
        </w:rPr>
        <w:br/>
      </w:r>
      <w:r w:rsidRPr="004D2F29">
        <w:rPr>
          <w:color w:val="1A1A1A"/>
          <w:szCs w:val="21"/>
        </w:rPr>
        <w:t>Giovana Akemi Silva Igarashi</w:t>
      </w:r>
      <w:r w:rsidRPr="004D2F29">
        <w:rPr>
          <w:color w:val="1A1A1A"/>
          <w:szCs w:val="21"/>
          <w:vertAlign w:val="superscript"/>
        </w:rPr>
        <w:t>1</w:t>
      </w:r>
      <w:r w:rsidRPr="004D2F29">
        <w:rPr>
          <w:szCs w:val="21"/>
        </w:rPr>
        <w:br/>
      </w:r>
      <w:r w:rsidRPr="004D2F29">
        <w:rPr>
          <w:color w:val="1A1A1A"/>
          <w:szCs w:val="21"/>
        </w:rPr>
        <w:t>Maria Luiza de Lucca Magdaleno Ikezaki</w:t>
      </w:r>
      <w:r w:rsidRPr="004D2F29">
        <w:rPr>
          <w:color w:val="1A1A1A"/>
          <w:szCs w:val="21"/>
          <w:vertAlign w:val="superscript"/>
        </w:rPr>
        <w:t>1</w:t>
      </w:r>
      <w:r w:rsidRPr="004D2F29">
        <w:rPr>
          <w:szCs w:val="21"/>
        </w:rPr>
        <w:br/>
      </w:r>
      <w:r w:rsidRPr="004D2F29">
        <w:rPr>
          <w:color w:val="1A1A1A"/>
          <w:szCs w:val="21"/>
        </w:rPr>
        <w:t>Mariana Horbe Perez</w:t>
      </w:r>
      <w:r w:rsidRPr="004D2F29">
        <w:rPr>
          <w:color w:val="1A1A1A"/>
          <w:szCs w:val="21"/>
          <w:vertAlign w:val="superscript"/>
        </w:rPr>
        <w:t>1</w:t>
      </w:r>
      <w:r w:rsidRPr="004D2F29">
        <w:rPr>
          <w:szCs w:val="21"/>
        </w:rPr>
        <w:br/>
      </w:r>
      <w:r w:rsidRPr="004D2F29">
        <w:rPr>
          <w:color w:val="1A1A1A"/>
          <w:szCs w:val="21"/>
        </w:rPr>
        <w:t>Gabriela de Souza Lima</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 xml:space="preserve">Apresentação do Caso: </w:t>
      </w:r>
      <w:r w:rsidRPr="004D2F29">
        <w:rPr>
          <w:color w:val="1A1A1A"/>
          <w:sz w:val="22"/>
        </w:rPr>
        <w:t xml:space="preserve">Paciente masculino, iniciou seguimento em 03/2022 aos 10 anos, por atraso constitucional do crescimento (IGF-1: 343 ng/dL; idade óssea: 8 anos) sem indicação de hormônio de crescimento. Exames revelaram hipotireoidismo subclínico (TSH: 4 mUI/L; T4L 1,1 ng/dL) e transaminases elevadas (TGO: 153 U/L; TGP: 73 U/L). Em 2023 novos exames demonstraram estabilização hormonal sem realização de intervenções. Ao final do mesmo ano apresentava IGF-1 525 ng-dl, vitamina D insuficiente (21 ng-ml) e puberdade em progressão (testosterona: 468 ng/dl), que permaneceu até 03/2025, quando iniciou restrição alimentar grave, atividades físicas intensas, ortorexia, icterícia e fadiga. Apresentava supressão dos eixos somatotrófico e gonadotrófico, com IGF-1 126 ng-dl, em consequência do déficit nutricional, acrescido de testosterona &lt;12 ng/dL, FSH e LH &lt; 0,3 mUI/mL, caracterizando pan-hipopituitarismo. Investigação realizada em 04/2025 revelou sorologia IgG hepatite A reagente, TGP elevado (199 U/L), plaquetopenia (19000 mc/L) e Ressonância Magnética de hipófise sem alterações. Encaminhado à nutricionista e psiquiatra, iniciou reposição de vitamina D, readequação alimentar, redução de exercício físico, risperidona 2 mg/dia e sertralina 50 mg/dia, resultando em normalização dos níveis de testosterona, IGF-1, LH, enzimas hepáticas e vitamina D. Em 09/2025 apresentava idade óssea de 13 anos, testosterona 697 ng/dL, TGO 28 U/L, TGP 25 U/L, IGF-1 543 ng/dL, vitamina D 51 ng/mL e TSH 2,1 mUI/L, evidenciando recuperação clínica, laboratorial e hormonal após suporte multidisciplinar. </w:t>
      </w:r>
      <w:r w:rsidRPr="004D2F29">
        <w:rPr>
          <w:b/>
          <w:color w:val="1A1A1A"/>
          <w:sz w:val="22"/>
        </w:rPr>
        <w:t xml:space="preserve">Discussão/considerações finais: </w:t>
      </w:r>
      <w:r w:rsidRPr="004D2F29">
        <w:rPr>
          <w:color w:val="1A1A1A"/>
          <w:sz w:val="22"/>
        </w:rPr>
        <w:t>O pan-hipopituitarismo geralmente decorre de causas orgânicas definidas, como tumores hipofisários e malformações congênitas. Contudo, neste caso observou-se quadro de pan-hipopituitarismo transitório funcional desencadeado exclusivamente por déficit calórico severo. Isso ocorre a partir de um mecanismo adaptativo o qual, diante da baixa disponibilidade energética, gera supressão hipotalâmica dos eixos somatotrófico, gonadotrófico e tireotrófico, demonstrados pela redução dos níveis hormonais respectivos. Diferentemente das formas orgânicas, essa alteração mostrou-se reversível com a realimentação e recuperação do estado nutricional, consagrando o pan-hipopituitarismo transitório decorrente de supressão calórica como uma manifestação funcional passível de reversão a partir de abordagem multidisciplinar e retirada dos fatores desencadeantes do quadro.</w:t>
      </w:r>
      <w:r w:rsidR="004D2F29">
        <w:rPr>
          <w:color w:val="1A1A1A"/>
          <w:sz w:val="22"/>
        </w:rPr>
        <w:t xml:space="preserve"> </w:t>
      </w:r>
      <w:r w:rsidRPr="004D2F29">
        <w:rPr>
          <w:b/>
          <w:color w:val="1A1A1A"/>
          <w:sz w:val="22"/>
        </w:rPr>
        <w:t>TIREOIDE</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Centro Universitário São Camilo</w:t>
      </w:r>
    </w:p>
    <w:p w:rsidR="000B5910" w:rsidRDefault="000B5910">
      <w:pPr>
        <w:sectPr w:rsidR="000B5910">
          <w:headerReference w:type="default" r:id="rId231"/>
          <w:footerReference w:type="default" r:id="rId23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DOENÇA DE GRAVES EM CRIANÇAS E ADOLESCENTES: PERFIL CLÍNICO E DESFECHOS DO TRATAMENTO EM UM CENTRO TERCIÁRIO BRASILEIRO</w:t>
      </w:r>
    </w:p>
    <w:p w:rsidR="000B5910" w:rsidRPr="004D2F29" w:rsidRDefault="00057F5C">
      <w:pPr>
        <w:spacing w:after="40" w:line="252" w:lineRule="auto"/>
        <w:jc w:val="right"/>
        <w:rPr>
          <w:szCs w:val="21"/>
        </w:rPr>
      </w:pPr>
      <w:r w:rsidRPr="004D2F29">
        <w:rPr>
          <w:color w:val="1A1A1A"/>
          <w:szCs w:val="21"/>
        </w:rPr>
        <w:t>Bianca Larruscaim Biasuz</w:t>
      </w:r>
      <w:r w:rsidRPr="004D2F29">
        <w:rPr>
          <w:color w:val="1A1A1A"/>
          <w:szCs w:val="21"/>
          <w:vertAlign w:val="superscript"/>
        </w:rPr>
        <w:t>1</w:t>
      </w:r>
      <w:r w:rsidRPr="004D2F29">
        <w:rPr>
          <w:szCs w:val="21"/>
        </w:rPr>
        <w:br/>
      </w:r>
      <w:r w:rsidRPr="004D2F29">
        <w:rPr>
          <w:color w:val="1A1A1A"/>
          <w:szCs w:val="21"/>
        </w:rPr>
        <w:t>Isabela Malmaceda de Moraes</w:t>
      </w:r>
      <w:r w:rsidRPr="004D2F29">
        <w:rPr>
          <w:color w:val="1A1A1A"/>
          <w:szCs w:val="21"/>
          <w:vertAlign w:val="superscript"/>
        </w:rPr>
        <w:t>1</w:t>
      </w:r>
      <w:r w:rsidRPr="004D2F29">
        <w:rPr>
          <w:szCs w:val="21"/>
        </w:rPr>
        <w:br/>
      </w:r>
      <w:r w:rsidRPr="004D2F29">
        <w:rPr>
          <w:color w:val="1A1A1A"/>
          <w:szCs w:val="21"/>
        </w:rPr>
        <w:t>Ana Luiza Silva Maia</w:t>
      </w:r>
      <w:r w:rsidRPr="004D2F29">
        <w:rPr>
          <w:color w:val="1A1A1A"/>
          <w:szCs w:val="21"/>
          <w:vertAlign w:val="superscript"/>
        </w:rPr>
        <w:t>2</w:t>
      </w:r>
      <w:r w:rsidRPr="004D2F29">
        <w:rPr>
          <w:szCs w:val="21"/>
        </w:rPr>
        <w:br/>
      </w:r>
      <w:r w:rsidRPr="004D2F29">
        <w:rPr>
          <w:color w:val="1A1A1A"/>
          <w:szCs w:val="21"/>
        </w:rPr>
        <w:t>Iuri Martin Goemann</w:t>
      </w:r>
      <w:r w:rsidRPr="004D2F29">
        <w:rPr>
          <w:color w:val="1A1A1A"/>
          <w:szCs w:val="21"/>
          <w:vertAlign w:val="superscript"/>
        </w:rPr>
        <w:t>2</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Introdução:</w:t>
      </w:r>
      <w:r w:rsidRPr="004D2F29">
        <w:rPr>
          <w:color w:val="1A1A1A"/>
          <w:sz w:val="22"/>
        </w:rPr>
        <w:t xml:space="preserve"> O hipertireoidismo causado pela Doença de Graves (DG) é incomum na infância (≈1:10.000), mas pode ter impacto clínico relevante como crescimento acelerado, prejuízo escolar e alterações comportamentais. As opções terapêuticas incluem drogas antitireoidianas (DAT), iodo radioativo (RAI) e tireoidectomia. Dados nacionais sobre apresentação clínica e manejo da DG pediátrica ainda são limitados. </w:t>
      </w:r>
      <w:r w:rsidRPr="004D2F29">
        <w:rPr>
          <w:b/>
          <w:color w:val="1A1A1A"/>
          <w:sz w:val="22"/>
        </w:rPr>
        <w:t xml:space="preserve">Objetivo: </w:t>
      </w:r>
      <w:r w:rsidRPr="004D2F29">
        <w:rPr>
          <w:color w:val="1A1A1A"/>
          <w:sz w:val="22"/>
        </w:rPr>
        <w:t>Avaliar características clínicas ao diagnóstico, estratégias terapêuticas e desfechos em pacientes pediátricos com DG acompanhados em hospital público terciário.</w:t>
      </w:r>
      <w:r w:rsidRPr="004D2F29">
        <w:rPr>
          <w:b/>
          <w:color w:val="1A1A1A"/>
          <w:sz w:val="22"/>
        </w:rPr>
        <w:t xml:space="preserve"> Métodos: </w:t>
      </w:r>
      <w:r w:rsidRPr="004D2F29">
        <w:rPr>
          <w:color w:val="1A1A1A"/>
          <w:sz w:val="22"/>
        </w:rPr>
        <w:t>Estudo observacional retrospectivo por revisão de prontuários de pacientes diagnosticados com DG antes dos 18 anos, com consultas entre 2023 e 2025 em hospital terciário de Porto Alegre, Brasil. O diagnóstico baseou-se em critérios clínicos e laboratoriais. Variáveis contínuas foram expressas como média ± desvio padrão ou mediana (intervalo interquartil), conforme a distribuição.</w:t>
      </w:r>
      <w:r w:rsidRPr="004D2F29">
        <w:rPr>
          <w:b/>
          <w:color w:val="1A1A1A"/>
          <w:sz w:val="22"/>
        </w:rPr>
        <w:t xml:space="preserve"> Resultados: </w:t>
      </w:r>
      <w:r w:rsidRPr="004D2F29">
        <w:rPr>
          <w:color w:val="1A1A1A"/>
          <w:sz w:val="22"/>
        </w:rPr>
        <w:t xml:space="preserve">Foram incluídos 18 pacientes (66,7% feminino). </w:t>
      </w:r>
      <w:proofErr w:type="gramStart"/>
      <w:r w:rsidRPr="004D2F29">
        <w:rPr>
          <w:color w:val="1A1A1A"/>
          <w:sz w:val="22"/>
        </w:rPr>
        <w:t>A</w:t>
      </w:r>
      <w:proofErr w:type="gramEnd"/>
      <w:r w:rsidRPr="004D2F29">
        <w:rPr>
          <w:color w:val="1A1A1A"/>
          <w:sz w:val="22"/>
        </w:rPr>
        <w:t xml:space="preserve"> idade média ao diagnóstico foi 13,98 ± 2,94 anos. O escore Z do IMC foi 0,52 ± 1,12. O T4 livre inicial foi 2,19 ± 1,71 ng/dL. A mediana do TRAb foi 8,46 (IIQ 6,22–14,03), com 20% apresentando TRAb negativo. Seis pacientes desenvolveram oftalmopatia de Graves no seguimento. A dose inicial média de metimazol (MMZ) foi 16,25 ± 8,06 mg/dia (mediana 17,5; IIQ 12,5–20), e a dose máxima mediana foi 20 mg/dia (IIQ 13,75–20). Seis pacientes (33%) receberam RAI, com idade mediana de 15,16 anos (IIQ 12,95–16,54). Um paciente necessitou uma segunda dose. A dose mediana administrada foi 12,5 mCi (7–20 mCi). A </w:t>
      </w:r>
      <w:proofErr w:type="gramStart"/>
      <w:r w:rsidRPr="004D2F29">
        <w:rPr>
          <w:color w:val="1A1A1A"/>
          <w:sz w:val="22"/>
        </w:rPr>
        <w:t>taxa</w:t>
      </w:r>
      <w:proofErr w:type="gramEnd"/>
      <w:r w:rsidRPr="004D2F29">
        <w:rPr>
          <w:color w:val="1A1A1A"/>
          <w:sz w:val="22"/>
        </w:rPr>
        <w:t xml:space="preserve"> global de cura foi 80%, todos evoluindo para hipotireoidismo. Nenhum paciente foi submetido à tireoidectomia. No último seguimento, nove pacientes permaneciam em uso de MMZ. Não houve relato de eventos adversos graves.</w:t>
      </w:r>
      <w:r w:rsidRPr="004D2F29">
        <w:rPr>
          <w:b/>
          <w:color w:val="1A1A1A"/>
          <w:sz w:val="22"/>
        </w:rPr>
        <w:t xml:space="preserve"> Conclusão: </w:t>
      </w:r>
      <w:r w:rsidRPr="004D2F29">
        <w:rPr>
          <w:color w:val="1A1A1A"/>
          <w:sz w:val="22"/>
        </w:rPr>
        <w:t xml:space="preserve">A terapia prolongada com DAT foi a principal estratégia de tratamento para a DG pediátrica, enquanto o iodo radioativo foi necessário em aproximadamente um terço dos casos. </w:t>
      </w:r>
      <w:proofErr w:type="gramStart"/>
      <w:r w:rsidRPr="004D2F29">
        <w:rPr>
          <w:color w:val="1A1A1A"/>
          <w:sz w:val="22"/>
        </w:rPr>
        <w:t>A</w:t>
      </w:r>
      <w:proofErr w:type="gramEnd"/>
      <w:r w:rsidRPr="004D2F29">
        <w:rPr>
          <w:color w:val="1A1A1A"/>
          <w:sz w:val="22"/>
        </w:rPr>
        <w:t xml:space="preserve"> ausência de eventos adversos graves reforça a segurança das abordagens adotadas. Os achados contribuem para ampliar os dados nacionais sobre DG pediátrica e podem auxiliar na definição de estratégias de manejo em centros semelhantes.</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Escola de Medicina, Universidade do Vale do Rio dos Sinos, São Leopoldo, Brazil</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Unidade de Tireoide, Divisão de Endocrinologia, Hospital de Clínicas de Porto Alegre, Porto Alegre, Brazil</w:t>
      </w:r>
    </w:p>
    <w:p w:rsidR="000B5910" w:rsidRDefault="000B5910">
      <w:pPr>
        <w:sectPr w:rsidR="000B5910">
          <w:headerReference w:type="default" r:id="rId233"/>
          <w:footerReference w:type="default" r:id="rId23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MORTALIDADE POR CÂNCER DE TIREOIDE NO BRASIL (DE 2010 A 2024): COMPARAÇÃO ENTRE BRASIL, SUL E NORTE COM PADRONIZAÇÃO INTERNACIONAL</w:t>
      </w:r>
    </w:p>
    <w:p w:rsidR="000B5910" w:rsidRPr="004D2F29" w:rsidRDefault="00057F5C">
      <w:pPr>
        <w:spacing w:after="40" w:line="252" w:lineRule="auto"/>
        <w:jc w:val="right"/>
        <w:rPr>
          <w:szCs w:val="21"/>
        </w:rPr>
      </w:pPr>
      <w:r w:rsidRPr="004D2F29">
        <w:rPr>
          <w:color w:val="1A1A1A"/>
          <w:szCs w:val="21"/>
        </w:rPr>
        <w:t>Laura Strack Laini</w:t>
      </w:r>
      <w:r w:rsidRPr="004D2F29">
        <w:rPr>
          <w:color w:val="1A1A1A"/>
          <w:szCs w:val="21"/>
          <w:vertAlign w:val="superscript"/>
        </w:rPr>
        <w:t>1</w:t>
      </w:r>
      <w:r w:rsidRPr="004D2F29">
        <w:rPr>
          <w:szCs w:val="21"/>
        </w:rPr>
        <w:br/>
      </w:r>
      <w:r w:rsidRPr="004D2F29">
        <w:rPr>
          <w:color w:val="1A1A1A"/>
          <w:szCs w:val="21"/>
        </w:rPr>
        <w:t>Germana Victórya Martins Borelli</w:t>
      </w:r>
      <w:r w:rsidRPr="004D2F29">
        <w:rPr>
          <w:color w:val="1A1A1A"/>
          <w:szCs w:val="21"/>
          <w:vertAlign w:val="superscript"/>
        </w:rPr>
        <w:t>1</w:t>
      </w:r>
      <w:r w:rsidRPr="004D2F29">
        <w:rPr>
          <w:szCs w:val="21"/>
        </w:rPr>
        <w:br/>
      </w:r>
      <w:r w:rsidRPr="004D2F29">
        <w:rPr>
          <w:color w:val="1A1A1A"/>
          <w:szCs w:val="21"/>
        </w:rPr>
        <w:t>Caroline Laimer Davesac</w:t>
      </w:r>
      <w:r w:rsidRPr="004D2F29">
        <w:rPr>
          <w:color w:val="1A1A1A"/>
          <w:szCs w:val="21"/>
          <w:vertAlign w:val="superscript"/>
        </w:rPr>
        <w:t>1</w:t>
      </w:r>
      <w:r w:rsidRPr="004D2F29">
        <w:rPr>
          <w:szCs w:val="21"/>
        </w:rPr>
        <w:br/>
      </w:r>
      <w:r w:rsidRPr="004D2F29">
        <w:rPr>
          <w:color w:val="1A1A1A"/>
          <w:szCs w:val="21"/>
        </w:rPr>
        <w:t>Lara Carolina Duarte Orça</w:t>
      </w:r>
      <w:r w:rsidRPr="004D2F29">
        <w:rPr>
          <w:color w:val="1A1A1A"/>
          <w:szCs w:val="21"/>
          <w:vertAlign w:val="superscript"/>
        </w:rPr>
        <w:t>1</w:t>
      </w:r>
      <w:r w:rsidRPr="004D2F29">
        <w:rPr>
          <w:szCs w:val="21"/>
        </w:rPr>
        <w:br/>
      </w:r>
      <w:r w:rsidRPr="004D2F29">
        <w:rPr>
          <w:color w:val="1A1A1A"/>
          <w:szCs w:val="21"/>
        </w:rPr>
        <w:t>Katia Elisabeth Pires Souto</w:t>
      </w:r>
      <w:r w:rsidRPr="004D2F29">
        <w:rPr>
          <w:color w:val="1A1A1A"/>
          <w:szCs w:val="21"/>
          <w:vertAlign w:val="superscript"/>
        </w:rPr>
        <w:t>1</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Introdução:</w:t>
      </w:r>
      <w:r w:rsidRPr="004D2F29">
        <w:rPr>
          <w:color w:val="1A1A1A"/>
          <w:sz w:val="22"/>
        </w:rPr>
        <w:t xml:space="preserve"> O câncer de tireoide é, em nível mundial, a neoplasia maligna endócrina mais prevalente. Os tipos mais comuns são os carcinomas bem diferenciados, especialmente os subtipos papilífero e folicular, enquanto os carcinomas anaplásicos e medulares, embora mais agressivos, são menos frequentes. No entanto, apesar de a maioria dos casos apresentar bom prognóstico, a mortalidade pode variar conforme características regionais e demográficas, ocupando, inclusive, a posição 24 entre as mais altas taxas de mortalidade por cânceres. Nesse sentido, faz-se importante analisar as taxas de mortalidade para compreender o perfil epidemiológico da doença. </w:t>
      </w:r>
      <w:r w:rsidRPr="004D2F29">
        <w:rPr>
          <w:b/>
          <w:color w:val="1A1A1A"/>
          <w:sz w:val="22"/>
        </w:rPr>
        <w:t>Objetivo:</w:t>
      </w:r>
      <w:r w:rsidRPr="004D2F29">
        <w:rPr>
          <w:color w:val="1A1A1A"/>
          <w:sz w:val="22"/>
        </w:rPr>
        <w:t xml:space="preserve"> Analisar a mortalidade por câncer de tireoide no Brasil. </w:t>
      </w:r>
      <w:r w:rsidRPr="004D2F29">
        <w:rPr>
          <w:b/>
          <w:color w:val="1A1A1A"/>
          <w:sz w:val="22"/>
        </w:rPr>
        <w:t>Métodos:</w:t>
      </w:r>
      <w:r w:rsidRPr="004D2F29">
        <w:rPr>
          <w:color w:val="1A1A1A"/>
          <w:sz w:val="22"/>
        </w:rPr>
        <w:t xml:space="preserve"> Estudo ecológico, descritivo, de série temporal, com dados secundários obtidos do Sistema de Informações sobre Mortalidade (SIM/DATASUS), pelo Atlas de Mortalidade por Câncer do Instituto Nacional de Câncer (INCA). Analisou-se as taxas de mortalidade por câncer de tireoide no Brasil e nas regiões Sul e Norte, entre 2010 a 2024, além das taxas brutas e das padronizadas expressas por 100.000 habitantes. Realizou-se análise estatística descritiva das taxas de mortalidade, com cálculo de diferença relativa e comparação entre regiões, a média nacional, a média internacional e a faixa etária. </w:t>
      </w:r>
      <w:r w:rsidRPr="004D2F29">
        <w:rPr>
          <w:b/>
          <w:color w:val="1A1A1A"/>
          <w:sz w:val="22"/>
        </w:rPr>
        <w:t>Resultados:</w:t>
      </w:r>
      <w:r w:rsidRPr="004D2F29">
        <w:rPr>
          <w:color w:val="1A1A1A"/>
          <w:sz w:val="22"/>
        </w:rPr>
        <w:t xml:space="preserve"> A taxa bruta de mortalidade por câncer de tireoide no Brasil foi de 0,39 óbitos por 100.000 habitantes no período analisado. A Região Sul apresentou a maior taxa (0,44/100.000), 12,8% acima da média nacional, enquanto a Norte, a menor (0,31/100.000), 20,5% abaixo. Ao considerar a taxa padronizada pela população mundial, o Brasil apresentou coeficiente de 0,30/100.000 habitantes, com redução de 23,1%, após ajuste etário. As taxas tiveram aumento progressivo conforme a faixa etária, atingindo 5,12/100.000 em indivíduos com 80 anos ou mais, sendo a </w:t>
      </w:r>
      <w:proofErr w:type="gramStart"/>
      <w:r w:rsidRPr="004D2F29">
        <w:rPr>
          <w:color w:val="1A1A1A"/>
          <w:sz w:val="22"/>
        </w:rPr>
        <w:t>taxa</w:t>
      </w:r>
      <w:proofErr w:type="gramEnd"/>
      <w:r w:rsidRPr="004D2F29">
        <w:rPr>
          <w:color w:val="1A1A1A"/>
          <w:sz w:val="22"/>
        </w:rPr>
        <w:t xml:space="preserve"> de mortalidade, 13 vezes superior à média nacional. </w:t>
      </w:r>
      <w:r w:rsidRPr="004D2F29">
        <w:rPr>
          <w:b/>
          <w:color w:val="1A1A1A"/>
          <w:sz w:val="22"/>
        </w:rPr>
        <w:t>Conclusão:</w:t>
      </w:r>
      <w:r w:rsidRPr="004D2F29">
        <w:rPr>
          <w:color w:val="1A1A1A"/>
          <w:sz w:val="22"/>
        </w:rPr>
        <w:t xml:space="preserve"> A mortalidade por câncer de tireoide no Brasil apresentou baixa magnitude no período analisado, com diferenças regionais: maiores taxas na região sul e menores na região norte, possivelmente relacionadas à composição etária da população, evidenciada pela redução após padronização. Observou-se aumento expressivo das taxas com o avanço da idade, em especial em indivíduos acima de 80 anos. </w:t>
      </w:r>
      <w:proofErr w:type="gramStart"/>
      <w:r w:rsidRPr="004D2F29">
        <w:rPr>
          <w:color w:val="1A1A1A"/>
          <w:sz w:val="22"/>
        </w:rPr>
        <w:t>A</w:t>
      </w:r>
      <w:proofErr w:type="gramEnd"/>
      <w:r w:rsidRPr="004D2F29">
        <w:rPr>
          <w:color w:val="1A1A1A"/>
          <w:sz w:val="22"/>
        </w:rPr>
        <w:t xml:space="preserve"> importância de considerar fatores regionais e demográficos na análise de mortalidade por câncer de tireoide no país torna-se evidente.</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do Vale do Rio dos Sinos</w:t>
      </w:r>
    </w:p>
    <w:p w:rsidR="000B5910" w:rsidRDefault="000B5910">
      <w:pPr>
        <w:sectPr w:rsidR="000B5910">
          <w:headerReference w:type="default" r:id="rId235"/>
          <w:footerReference w:type="default" r:id="rId23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EFEITO WOLFF-CHAIKOFF SECUNDÁRIO À EXPOSIÇÃO OCUPACIONAL DE IODO</w:t>
      </w:r>
    </w:p>
    <w:p w:rsidR="000B5910" w:rsidRPr="004D2F29" w:rsidRDefault="00057F5C">
      <w:pPr>
        <w:spacing w:after="40" w:line="252" w:lineRule="auto"/>
        <w:jc w:val="right"/>
        <w:rPr>
          <w:szCs w:val="21"/>
        </w:rPr>
      </w:pPr>
      <w:r w:rsidRPr="004D2F29">
        <w:rPr>
          <w:color w:val="1A1A1A"/>
          <w:szCs w:val="21"/>
        </w:rPr>
        <w:t>Giulia Ferrandin</w:t>
      </w:r>
      <w:r w:rsidRPr="004D2F29">
        <w:rPr>
          <w:color w:val="1A1A1A"/>
          <w:szCs w:val="21"/>
          <w:vertAlign w:val="superscript"/>
        </w:rPr>
        <w:t>1</w:t>
      </w:r>
      <w:r w:rsidRPr="004D2F29">
        <w:rPr>
          <w:szCs w:val="21"/>
        </w:rPr>
        <w:br/>
      </w:r>
      <w:r w:rsidRPr="004D2F29">
        <w:rPr>
          <w:color w:val="1A1A1A"/>
          <w:szCs w:val="21"/>
        </w:rPr>
        <w:t>Anita Lavarda Scheinpflug</w:t>
      </w:r>
      <w:r w:rsidRPr="004D2F29">
        <w:rPr>
          <w:color w:val="1A1A1A"/>
          <w:szCs w:val="21"/>
          <w:vertAlign w:val="superscript"/>
        </w:rPr>
        <w:t>1</w:t>
      </w:r>
      <w:r w:rsidRPr="004D2F29">
        <w:rPr>
          <w:szCs w:val="21"/>
        </w:rPr>
        <w:br/>
      </w:r>
      <w:r w:rsidRPr="004D2F29">
        <w:rPr>
          <w:color w:val="1A1A1A"/>
          <w:szCs w:val="21"/>
        </w:rPr>
        <w:t>Caio Araújo Fiates</w:t>
      </w:r>
      <w:r w:rsidRPr="004D2F29">
        <w:rPr>
          <w:color w:val="1A1A1A"/>
          <w:szCs w:val="21"/>
          <w:vertAlign w:val="superscript"/>
        </w:rPr>
        <w:t>1</w:t>
      </w:r>
      <w:r w:rsidRPr="004D2F29">
        <w:rPr>
          <w:szCs w:val="21"/>
        </w:rPr>
        <w:br/>
      </w:r>
      <w:r w:rsidRPr="004D2F29">
        <w:rPr>
          <w:color w:val="1A1A1A"/>
          <w:szCs w:val="21"/>
        </w:rPr>
        <w:t>Flávia Zacchi Coelho</w:t>
      </w:r>
      <w:r w:rsidRPr="004D2F29">
        <w:rPr>
          <w:color w:val="1A1A1A"/>
          <w:szCs w:val="21"/>
          <w:vertAlign w:val="superscript"/>
        </w:rPr>
        <w:t>1</w:t>
      </w:r>
      <w:r w:rsidRPr="004D2F29">
        <w:rPr>
          <w:szCs w:val="21"/>
        </w:rPr>
        <w:br/>
      </w:r>
      <w:r w:rsidRPr="004D2F29">
        <w:rPr>
          <w:color w:val="1A1A1A"/>
          <w:szCs w:val="21"/>
        </w:rPr>
        <w:t>Letícia Pegoretti</w:t>
      </w:r>
      <w:r w:rsidRPr="004D2F29">
        <w:rPr>
          <w:color w:val="1A1A1A"/>
          <w:szCs w:val="21"/>
          <w:vertAlign w:val="superscript"/>
        </w:rPr>
        <w:t>1</w:t>
      </w:r>
      <w:r w:rsidRPr="004D2F29">
        <w:rPr>
          <w:szCs w:val="21"/>
        </w:rPr>
        <w:br/>
      </w:r>
      <w:r w:rsidRPr="004D2F29">
        <w:rPr>
          <w:color w:val="1A1A1A"/>
          <w:szCs w:val="21"/>
        </w:rPr>
        <w:t>Anna Luiza Dalsenter</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Apresentação do Caso:</w:t>
      </w:r>
      <w:r w:rsidRPr="004D2F29">
        <w:rPr>
          <w:color w:val="1A1A1A"/>
          <w:sz w:val="22"/>
        </w:rPr>
        <w:t xml:space="preserve"> Paciente masculino, 48 anos, com exposição ocupacional à manipulação de iodo há 20 anos (fabricação de compostos de cálcio), foi atendido em ambulatório de endocrinologia em dezembro de 2022 por alteração de TSH. Assintomático, negava comorbidades prévias. Em março de 2023, exames laboratoriais evidenciaram hipotireoidismo subclínico, com progressão para TSH 9,66 mUI/L e T4L 0,83 ng/dL. Anticorpos anti-tireoglobulina e anti-TPO foram negativos e a ultrassonografia de tireoide mostrou discreto bócio. Em junho de 2023 iniciou-se levotiroxina 75 mcg/dia. Na investigação etiológica, a dosagem de iodo urinário de 24 horas (agosto de 2023) evidenciou 5099 µg/L, valor superior a sete vezes o limite superior da referência. Cerca de um ano após o início da investigação, o paciente foi afastado do trabalho por lesão traumática no ombro. Em dezembro de 2023 apresentou tireotoxicose medicamentosa (TSH 0,09 mUI/L; T4L 2,13 ng/dL). Diante da suspensão da exposição ocupacional ao iodo e do quadro laboratorial, a levotiroxina foi suspensa. Em janeiro de 2024 houve normalização da função tireoidiana (TSH 2,1 mUI/L; T4L 1,1 ng/dL), confirmando hipotireoidismo induzido por exposição ocupacional ao iodo, com resolução após cessação da exposição. </w:t>
      </w:r>
      <w:r w:rsidRPr="004D2F29">
        <w:rPr>
          <w:b/>
          <w:color w:val="1A1A1A"/>
          <w:sz w:val="22"/>
        </w:rPr>
        <w:t>Discussão:</w:t>
      </w:r>
      <w:r w:rsidRPr="004D2F29">
        <w:rPr>
          <w:color w:val="1A1A1A"/>
          <w:sz w:val="22"/>
        </w:rPr>
        <w:t xml:space="preserve"> O iodo é essencial para a síntese dos hormônios tireoidianos, e a glândula possui mecanismos autorregulatórios que preservam o estado eutireoideo diante de variações em sua disponibilidade. </w:t>
      </w:r>
      <w:proofErr w:type="gramStart"/>
      <w:r w:rsidRPr="004D2F29">
        <w:rPr>
          <w:color w:val="1A1A1A"/>
          <w:sz w:val="22"/>
        </w:rPr>
        <w:t>A</w:t>
      </w:r>
      <w:proofErr w:type="gramEnd"/>
      <w:r w:rsidRPr="004D2F29">
        <w:rPr>
          <w:color w:val="1A1A1A"/>
          <w:sz w:val="22"/>
        </w:rPr>
        <w:t xml:space="preserve"> exposição aguda a altas cargas de iodo desencadeia o efeito Wolff–Chaikoff, caracterizado pela inibição transitória da organificação do iodeto e da síntese hormonal. Em condições fisiológicas, ocorre posteriormente o fenômeno de escape, mediado pela redução do transporte de iodeto para a tireoide e restauração da produção hormonal. Entretanto, a falha nesse mecanismo adaptativo, especialmente em contextos de exposição prolongada, pode levar à persistência do efeito inibitório e ao desenvolvimento de hipotireoidismo. Nesses casos, é fundamental excluir doença tireoidiana subjacente por meio da dosagem de anticorpos antitireoidianos e avaliação ultrassonográfica da glândula. Após essa exclusão, a dosagem de iodo urinário pode auxiliar na confirmação da exposição excessiva. </w:t>
      </w:r>
      <w:r w:rsidRPr="004D2F29">
        <w:rPr>
          <w:b/>
          <w:color w:val="1A1A1A"/>
          <w:sz w:val="22"/>
        </w:rPr>
        <w:t>Considerações finais:</w:t>
      </w:r>
      <w:r w:rsidRPr="004D2F29">
        <w:rPr>
          <w:color w:val="1A1A1A"/>
          <w:sz w:val="22"/>
        </w:rPr>
        <w:t xml:space="preserve"> O manejo é predominantemente conservador, baseado na suspensão da exposição e monitorização da função tireoidiana, sendo a levotiroxina indicada em casos selecionados e frequentemente passível de suspensão após normalização da carga iodada.</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do Vale do Itajaí - UNIVALI</w:t>
      </w:r>
    </w:p>
    <w:p w:rsidR="000B5910" w:rsidRDefault="000B5910">
      <w:pPr>
        <w:sectPr w:rsidR="000B5910">
          <w:headerReference w:type="default" r:id="rId237"/>
          <w:footerReference w:type="default" r:id="rId23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PSICOSE MIXEDEMATOSA NO HIPOTIREOIDISMO COMO DIAGNÓSTICO DIFERENCIAL EM QUADROS PSICÓTICOS: UMA REVISÃO DE LITERATURA</w:t>
      </w:r>
    </w:p>
    <w:p w:rsidR="000B5910" w:rsidRPr="004D2F29" w:rsidRDefault="00057F5C">
      <w:pPr>
        <w:spacing w:after="40" w:line="252" w:lineRule="auto"/>
        <w:jc w:val="right"/>
        <w:rPr>
          <w:szCs w:val="21"/>
        </w:rPr>
      </w:pPr>
      <w:r w:rsidRPr="004D2F29">
        <w:rPr>
          <w:color w:val="1A1A1A"/>
          <w:szCs w:val="21"/>
        </w:rPr>
        <w:t>Vitor Petry Thiele</w:t>
      </w:r>
      <w:r w:rsidRPr="004D2F29">
        <w:rPr>
          <w:color w:val="1A1A1A"/>
          <w:szCs w:val="21"/>
          <w:vertAlign w:val="superscript"/>
        </w:rPr>
        <w:t>1</w:t>
      </w:r>
      <w:r w:rsidRPr="004D2F29">
        <w:rPr>
          <w:szCs w:val="21"/>
        </w:rPr>
        <w:br/>
      </w:r>
      <w:r w:rsidRPr="004D2F29">
        <w:rPr>
          <w:color w:val="1A1A1A"/>
          <w:szCs w:val="21"/>
        </w:rPr>
        <w:t>Maria Carolina Hirsch</w:t>
      </w:r>
      <w:r w:rsidRPr="004D2F29">
        <w:rPr>
          <w:color w:val="1A1A1A"/>
          <w:szCs w:val="21"/>
          <w:vertAlign w:val="superscript"/>
        </w:rPr>
        <w:t>1</w:t>
      </w:r>
      <w:r w:rsidRPr="004D2F29">
        <w:rPr>
          <w:szCs w:val="21"/>
        </w:rPr>
        <w:br/>
      </w:r>
      <w:r w:rsidRPr="004D2F29">
        <w:rPr>
          <w:color w:val="1A1A1A"/>
          <w:szCs w:val="21"/>
        </w:rPr>
        <w:t>Carolina Faccin Da Ros</w:t>
      </w:r>
      <w:r w:rsidRPr="004D2F29">
        <w:rPr>
          <w:color w:val="1A1A1A"/>
          <w:szCs w:val="21"/>
          <w:vertAlign w:val="superscript"/>
        </w:rPr>
        <w:t>1</w:t>
      </w:r>
      <w:r w:rsidRPr="004D2F29">
        <w:rPr>
          <w:szCs w:val="21"/>
        </w:rPr>
        <w:br/>
      </w:r>
      <w:r w:rsidRPr="004D2F29">
        <w:rPr>
          <w:color w:val="1A1A1A"/>
          <w:szCs w:val="21"/>
        </w:rPr>
        <w:t>Luiza Haas Jacobus</w:t>
      </w:r>
      <w:r w:rsidRPr="004D2F29">
        <w:rPr>
          <w:color w:val="1A1A1A"/>
          <w:szCs w:val="21"/>
          <w:vertAlign w:val="superscript"/>
        </w:rPr>
        <w:t>1</w:t>
      </w:r>
      <w:r w:rsidRPr="004D2F29">
        <w:rPr>
          <w:szCs w:val="21"/>
        </w:rPr>
        <w:br/>
      </w:r>
      <w:r w:rsidRPr="004D2F29">
        <w:rPr>
          <w:color w:val="1A1A1A"/>
          <w:szCs w:val="21"/>
        </w:rPr>
        <w:t>Murilo Antônio Borba</w:t>
      </w:r>
      <w:r w:rsidRPr="004D2F29">
        <w:rPr>
          <w:color w:val="1A1A1A"/>
          <w:szCs w:val="21"/>
          <w:vertAlign w:val="superscript"/>
        </w:rPr>
        <w:t>1</w:t>
      </w:r>
      <w:r w:rsidRPr="004D2F29">
        <w:rPr>
          <w:szCs w:val="21"/>
        </w:rPr>
        <w:br/>
      </w:r>
      <w:r w:rsidRPr="004D2F29">
        <w:rPr>
          <w:color w:val="1A1A1A"/>
          <w:szCs w:val="21"/>
        </w:rPr>
        <w:t>Isabela Alles</w:t>
      </w:r>
      <w:r w:rsidRPr="004D2F29">
        <w:rPr>
          <w:color w:val="1A1A1A"/>
          <w:szCs w:val="21"/>
          <w:vertAlign w:val="superscript"/>
        </w:rPr>
        <w:t>1</w:t>
      </w:r>
      <w:r w:rsidRPr="004D2F29">
        <w:rPr>
          <w:szCs w:val="21"/>
        </w:rPr>
        <w:br/>
      </w:r>
      <w:r w:rsidRPr="004D2F29">
        <w:rPr>
          <w:color w:val="1A1A1A"/>
          <w:szCs w:val="21"/>
        </w:rPr>
        <w:t>Camila Ferreira Overbeck</w:t>
      </w:r>
      <w:r w:rsidRPr="004D2F29">
        <w:rPr>
          <w:color w:val="1A1A1A"/>
          <w:szCs w:val="21"/>
          <w:vertAlign w:val="superscript"/>
        </w:rPr>
        <w:t>1</w:t>
      </w:r>
      <w:r w:rsidRPr="004D2F29">
        <w:rPr>
          <w:szCs w:val="21"/>
        </w:rPr>
        <w:br/>
      </w:r>
      <w:r w:rsidRPr="004D2F29">
        <w:rPr>
          <w:color w:val="1A1A1A"/>
          <w:szCs w:val="21"/>
        </w:rPr>
        <w:t>Lúcio Marques Leonardi</w:t>
      </w:r>
      <w:r w:rsidRPr="004D2F29">
        <w:rPr>
          <w:color w:val="1A1A1A"/>
          <w:szCs w:val="21"/>
          <w:vertAlign w:val="superscript"/>
        </w:rPr>
        <w:t>1</w:t>
      </w:r>
      <w:r w:rsidRPr="004D2F29">
        <w:rPr>
          <w:szCs w:val="21"/>
        </w:rPr>
        <w:br/>
      </w:r>
      <w:r w:rsidRPr="004D2F29">
        <w:rPr>
          <w:color w:val="1A1A1A"/>
          <w:szCs w:val="21"/>
        </w:rPr>
        <w:t>Haas Hoppe</w:t>
      </w:r>
      <w:r w:rsidRPr="004D2F29">
        <w:rPr>
          <w:color w:val="1A1A1A"/>
          <w:szCs w:val="21"/>
          <w:vertAlign w:val="superscript"/>
        </w:rPr>
        <w:t>1</w:t>
      </w:r>
      <w:r w:rsidRPr="004D2F29">
        <w:rPr>
          <w:szCs w:val="21"/>
        </w:rPr>
        <w:br/>
      </w:r>
      <w:r w:rsidRPr="004D2F29">
        <w:rPr>
          <w:color w:val="1A1A1A"/>
          <w:szCs w:val="21"/>
        </w:rPr>
        <w:t>Paulo Roberto Laste</w:t>
      </w:r>
      <w:r w:rsidRPr="004D2F29">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4D2F29" w:rsidRDefault="00057F5C" w:rsidP="004D2F29">
      <w:pPr>
        <w:spacing w:after="80" w:line="240" w:lineRule="auto"/>
        <w:jc w:val="both"/>
        <w:rPr>
          <w:sz w:val="22"/>
        </w:rPr>
      </w:pPr>
      <w:r w:rsidRPr="004D2F29">
        <w:rPr>
          <w:b/>
          <w:color w:val="1A1A1A"/>
          <w:sz w:val="22"/>
        </w:rPr>
        <w:t>Introdução:</w:t>
      </w:r>
      <w:r w:rsidRPr="004D2F29">
        <w:rPr>
          <w:color w:val="1A1A1A"/>
          <w:sz w:val="22"/>
        </w:rPr>
        <w:t xml:space="preserve"> O hipotireoidismo acomete cerca de 3,6% da população. A psicose mixedematosa (PM) é uma rara manifestação psiquiátrica dessa condição e representa uma causa incomum, porém reversível, de psicose. Seu reconhecimento constitui um desafio clínico, uma vez que a sintomatologia pode mimetizar transtornos psiquiátricos primários. Assim, diante de seu prognóstico favorável quando precocemente reconhecida, a PM deve ser incluída no diagnóstico diferencial de quadros psicóticos de início recente. </w:t>
      </w:r>
      <w:r w:rsidRPr="004D2F29">
        <w:rPr>
          <w:b/>
          <w:color w:val="1A1A1A"/>
          <w:sz w:val="22"/>
        </w:rPr>
        <w:t>Objetivo:</w:t>
      </w:r>
      <w:r w:rsidRPr="004D2F29">
        <w:rPr>
          <w:color w:val="1A1A1A"/>
          <w:sz w:val="22"/>
        </w:rPr>
        <w:t xml:space="preserve"> Analisar aspectos clínicos, fisiopatológicos, diagnósticos e terapêuticos da PM associada ao hipotireoidismo, ressaltando seu papel como causa reversível de psicose. </w:t>
      </w:r>
      <w:r w:rsidRPr="004D2F29">
        <w:rPr>
          <w:b/>
          <w:color w:val="1A1A1A"/>
          <w:sz w:val="22"/>
        </w:rPr>
        <w:t>Métodos:</w:t>
      </w:r>
      <w:r w:rsidRPr="004D2F29">
        <w:rPr>
          <w:color w:val="1A1A1A"/>
          <w:sz w:val="22"/>
        </w:rPr>
        <w:t xml:space="preserve"> Revisão sistemática da literatura nas bases Pubmed e Scopus, utilizando os descritores “Hypothyroidism” e “Psychotic Disorders”, presentes no DeCS/MeSH, manejados com o operador booleano “AND”. Foram incluídos estudos publicados entre 2021 e 2026, com acesso aberto e texto completo disponível. Foram excluídos estudos duplicados e que não se enquadram no escopo da pesquisa. </w:t>
      </w:r>
      <w:r w:rsidRPr="004D2F29">
        <w:rPr>
          <w:b/>
          <w:color w:val="1A1A1A"/>
          <w:sz w:val="22"/>
        </w:rPr>
        <w:t>Resultados:</w:t>
      </w:r>
      <w:r w:rsidRPr="004D2F29">
        <w:rPr>
          <w:color w:val="1A1A1A"/>
          <w:sz w:val="22"/>
        </w:rPr>
        <w:t xml:space="preserve"> Com base nos critérios estabelecidos, 4 artigos, dos 93 encontrados, foram selecionados. A fisiopatologia da PM permanece indecifrada, entretanto, observa-se um desequilíbrio na atividade da tirosina hidroxilase no locus anterior coeruleus e elevada densidade de receptores de triiodotironina na amígdala e no hipocampo, essenciais para a regulação emocional e comportamental. Clinicamente, delírios ocorrem em cerca de 90% dos casos, predominantemente do tipo paranóide ou persecutório, podendo ocorrer também alucinações auditivas, além de sintomas afetivos, sobretudo maníacos e, menos frequentemente, depressivos. Sinais e sintomas clássicos do hipotireoidismo podem estar ausentes. Laboratorialmente, observa-se elevação do hormônio tireoestimulante associada à redução dos hormônios tireoidianos, reforçando </w:t>
      </w:r>
      <w:proofErr w:type="gramStart"/>
      <w:r w:rsidRPr="004D2F29">
        <w:rPr>
          <w:color w:val="1A1A1A"/>
          <w:sz w:val="22"/>
        </w:rPr>
        <w:t>a</w:t>
      </w:r>
      <w:proofErr w:type="gramEnd"/>
      <w:r w:rsidRPr="004D2F29">
        <w:rPr>
          <w:color w:val="1A1A1A"/>
          <w:sz w:val="22"/>
        </w:rPr>
        <w:t xml:space="preserve"> importância do rastreio. As etiologias orgânicas devem ser consideradas como diagnósticos diferenciais. A terapia de reposição tireoidiana constitui a base terapêutica, podendo ser por via oral ou intravenosa. Contudo, na primeira semana pode ocorrer exacerbação dos sintomas psicóticos, exigindo o uso concomitante de ansiolíticos e antipsicóticos. </w:t>
      </w:r>
      <w:r w:rsidRPr="004D2F29">
        <w:rPr>
          <w:b/>
          <w:color w:val="1A1A1A"/>
          <w:sz w:val="22"/>
        </w:rPr>
        <w:t>Conclusão:</w:t>
      </w:r>
      <w:r w:rsidRPr="004D2F29">
        <w:rPr>
          <w:color w:val="1A1A1A"/>
          <w:sz w:val="22"/>
        </w:rPr>
        <w:t xml:space="preserve"> A apresentação clínica inespecífica da PM e a possível ausência de sinais clássicos reforçam a necessidade de avaliação sistemática da função tireoidiana em quadros psicóticos, permitindo diagnóstico, tratamento adequado e melhor prognóstico.</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de Santa Cruz do Sul</w:t>
      </w:r>
    </w:p>
    <w:p w:rsidR="000B5910" w:rsidRDefault="000B5910">
      <w:pPr>
        <w:sectPr w:rsidR="000B5910">
          <w:headerReference w:type="default" r:id="rId239"/>
          <w:footerReference w:type="default" r:id="rId24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BÓCIO MULTINODULAR GIGANTE COMPLICADO POR INFECÇÃO CUTÂNEA EM PACIENTE NONAGENÁRIA: RELATO DE CASO</w:t>
      </w:r>
    </w:p>
    <w:p w:rsidR="000B5910" w:rsidRPr="004D2F29" w:rsidRDefault="00057F5C">
      <w:pPr>
        <w:spacing w:after="40" w:line="252" w:lineRule="auto"/>
        <w:jc w:val="right"/>
        <w:rPr>
          <w:szCs w:val="21"/>
        </w:rPr>
      </w:pPr>
      <w:r w:rsidRPr="004D2F29">
        <w:rPr>
          <w:color w:val="1A1A1A"/>
          <w:szCs w:val="21"/>
        </w:rPr>
        <w:t>Luiza Rosso da Silva Pritsch</w:t>
      </w:r>
      <w:r w:rsidRPr="004D2F29">
        <w:rPr>
          <w:color w:val="1A1A1A"/>
          <w:szCs w:val="21"/>
          <w:vertAlign w:val="superscript"/>
        </w:rPr>
        <w:t>1</w:t>
      </w:r>
      <w:r w:rsidRPr="004D2F29">
        <w:rPr>
          <w:szCs w:val="21"/>
        </w:rPr>
        <w:br/>
      </w:r>
      <w:r w:rsidRPr="004D2F29">
        <w:rPr>
          <w:color w:val="1A1A1A"/>
          <w:szCs w:val="21"/>
        </w:rPr>
        <w:t>Júlia Vives Leal</w:t>
      </w:r>
      <w:r w:rsidRPr="004D2F29">
        <w:rPr>
          <w:color w:val="1A1A1A"/>
          <w:szCs w:val="21"/>
          <w:vertAlign w:val="superscript"/>
        </w:rPr>
        <w:t>1</w:t>
      </w:r>
      <w:r w:rsidRPr="004D2F29">
        <w:rPr>
          <w:szCs w:val="21"/>
        </w:rPr>
        <w:br/>
      </w:r>
      <w:r w:rsidRPr="004D2F29">
        <w:rPr>
          <w:color w:val="1A1A1A"/>
          <w:szCs w:val="21"/>
        </w:rPr>
        <w:t>Maria Antônia Dutra Nicolodi</w:t>
      </w:r>
      <w:r w:rsidRPr="004D2F29">
        <w:rPr>
          <w:color w:val="1A1A1A"/>
          <w:szCs w:val="21"/>
          <w:vertAlign w:val="superscript"/>
        </w:rPr>
        <w:t>1</w:t>
      </w:r>
      <w:r w:rsidRPr="004D2F29">
        <w:rPr>
          <w:szCs w:val="21"/>
        </w:rPr>
        <w:br/>
      </w:r>
      <w:r w:rsidRPr="004D2F29">
        <w:rPr>
          <w:color w:val="1A1A1A"/>
          <w:szCs w:val="21"/>
        </w:rPr>
        <w:t>Roberta Marobin</w:t>
      </w:r>
      <w:r w:rsidRPr="004D2F29">
        <w:rPr>
          <w:color w:val="1A1A1A"/>
          <w:szCs w:val="21"/>
          <w:vertAlign w:val="superscript"/>
        </w:rPr>
        <w:t>1</w:t>
      </w:r>
      <w:r w:rsidRPr="004D2F29">
        <w:rPr>
          <w:szCs w:val="21"/>
        </w:rPr>
        <w:br/>
      </w:r>
      <w:r w:rsidRPr="004D2F29">
        <w:rPr>
          <w:color w:val="1A1A1A"/>
          <w:szCs w:val="21"/>
        </w:rPr>
        <w:t>Luciana Roesch Schreiner</w:t>
      </w:r>
      <w:r w:rsidRPr="004D2F29">
        <w:rPr>
          <w:color w:val="1A1A1A"/>
          <w:szCs w:val="21"/>
          <w:vertAlign w:val="superscript"/>
        </w:rPr>
        <w:t>1</w:t>
      </w:r>
      <w:r w:rsidRPr="004D2F29">
        <w:rPr>
          <w:szCs w:val="21"/>
        </w:rPr>
        <w:br/>
      </w:r>
      <w:r w:rsidRPr="004D2F29">
        <w:rPr>
          <w:color w:val="1A1A1A"/>
          <w:szCs w:val="21"/>
        </w:rPr>
        <w:t>Tobias Skrebsky de Almeida</w:t>
      </w:r>
      <w:r w:rsidRPr="004D2F29">
        <w:rPr>
          <w:color w:val="1A1A1A"/>
          <w:szCs w:val="21"/>
          <w:vertAlign w:val="superscript"/>
        </w:rPr>
        <w:t>1</w:t>
      </w:r>
      <w:r w:rsidRPr="004D2F29">
        <w:rPr>
          <w:szCs w:val="21"/>
        </w:rPr>
        <w:br/>
      </w:r>
      <w:r w:rsidRPr="004D2F29">
        <w:rPr>
          <w:color w:val="1A1A1A"/>
          <w:szCs w:val="21"/>
        </w:rPr>
        <w:t>Guilherme Alcides Flores Soares Rollin</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 xml:space="preserve">Apresentação do Caso: </w:t>
      </w:r>
      <w:r w:rsidRPr="004D2F29">
        <w:rPr>
          <w:color w:val="1A1A1A"/>
          <w:sz w:val="22"/>
        </w:rPr>
        <w:t>Feminina, 94 anos, vem em acompanhamento de bócio volumoso há 50 anos, com recusa à realização de tireoidectomia apesar do crescimento importante no período. É eutireoidea, com quadro de baixo peso (IMC 14), insuficiência cardíaca e cardiopatia isquêmica</w:t>
      </w:r>
      <w:r w:rsidR="004D2F29" w:rsidRPr="004D2F29">
        <w:rPr>
          <w:color w:val="1A1A1A"/>
          <w:sz w:val="22"/>
        </w:rPr>
        <w:t xml:space="preserve"> </w:t>
      </w:r>
      <w:r w:rsidRPr="004D2F29">
        <w:rPr>
          <w:color w:val="1A1A1A"/>
          <w:sz w:val="22"/>
        </w:rPr>
        <w:t xml:space="preserve">Interna devido infecção cutânea em região da volumosa massa cervical, com ulceração, drenagem espontânea de secreção purulenta e febre. TC cervical demonstrou lesão expansiva exofítica com base na região cervical infra-hioidea anterior/transição cervicotorácica, heterogênea, com calcificações periféricas e áreas hipodensas líquidas, medindo 30 x 23,7 x 10,6 cm (volume estimado 3.941cm3), comprimindo especialmente laringe e traqueia, com leve redução do calibre, porém sem sintomas compressivos significativos. Ao ultrassom, define-se volumoso bócio com nódulos iso e levemente hipoecogênicos, com calcificações periféricas e PAAF de resultado inconclusivo (Bethesda I). Durante a internação, recebeu antibioticoterapia endovenosa e houve drenagem significativa de secreção, com redução visível do tamanho da lesão. Diante da evolução lenta do quadro, com baixa probabilidade de etiologia maligna, foi optado por manejo conservador considerando a preferência da paciente, seu risco cardiovascular e as potenciais dificuldades técnicas decorrentes de alterações anatômicas, o que poderia aumentar significativamente o risco de complicações perioperatórias. </w:t>
      </w:r>
      <w:r w:rsidRPr="004D2F29">
        <w:rPr>
          <w:b/>
          <w:color w:val="1A1A1A"/>
          <w:sz w:val="22"/>
        </w:rPr>
        <w:t>Discussão:</w:t>
      </w:r>
      <w:r w:rsidRPr="004D2F29">
        <w:rPr>
          <w:color w:val="1A1A1A"/>
          <w:sz w:val="22"/>
        </w:rPr>
        <w:t xml:space="preserve"> Bócios multinodulares são frequentes na população geral, porém, devido ao crescimento geralmente lento e à disponibilidade de tratamento cirúrgico/ablativo quando indicado, raramente evoluem para dimensões extremas. Define-se bócio gigante como massa tireoidiana com diâmetro &gt; 8 cm ou peso &gt; 500 g, podendo levar à compressão de estruturas cervicais e impacto na qualidade de vida, além de demandar avaliação quanto à possibilidade de etiologia maligna. No caso apresentado, a principal complicação observada foi infecciosa, condição incomum visto que a glândula tireoide é relativamente resistente à infecção devido à presença de iodo e sua rica vascularização e drenagem linfática, o que dificulta a colonização bacteriana. </w:t>
      </w:r>
      <w:r w:rsidRPr="004D2F29">
        <w:rPr>
          <w:b/>
          <w:color w:val="1A1A1A"/>
          <w:sz w:val="22"/>
        </w:rPr>
        <w:t xml:space="preserve">Considerações finais: </w:t>
      </w:r>
      <w:r w:rsidRPr="004D2F29">
        <w:rPr>
          <w:color w:val="1A1A1A"/>
          <w:sz w:val="22"/>
        </w:rPr>
        <w:t xml:space="preserve">O presente caso ilustra uma evolução incomum de bócio multinodular gigante: </w:t>
      </w:r>
      <w:proofErr w:type="gramStart"/>
      <w:r w:rsidRPr="004D2F29">
        <w:rPr>
          <w:color w:val="1A1A1A"/>
          <w:sz w:val="22"/>
        </w:rPr>
        <w:t>a</w:t>
      </w:r>
      <w:proofErr w:type="gramEnd"/>
      <w:r w:rsidRPr="004D2F29">
        <w:rPr>
          <w:color w:val="1A1A1A"/>
          <w:sz w:val="22"/>
        </w:rPr>
        <w:t xml:space="preserve"> ausência de sintomas compressivos e o surgimento de infecção cutânea. O relato também evidencia o potencial de crescimento progressivo desta condição ao longo de décadas quando não tratada adequadamente.</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Hospital Moinhos de Vento</w:t>
      </w:r>
    </w:p>
    <w:p w:rsidR="000B5910" w:rsidRDefault="000B5910">
      <w:pPr>
        <w:sectPr w:rsidR="000B5910">
          <w:headerReference w:type="default" r:id="rId241"/>
          <w:footerReference w:type="default" r:id="rId24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TENDÊNCIA TEMPORAL E PERFIL EPIDEMIOLÓGICO DAS INTERNAÇÕES HOSPITALARES POR TRANSTORNOS DA TIREOIDE NO SUS NA REGIÃO SUL DO BRASIL (2008–2024)</w:t>
      </w:r>
    </w:p>
    <w:p w:rsidR="000B5910" w:rsidRPr="004D2F29" w:rsidRDefault="00057F5C">
      <w:pPr>
        <w:spacing w:after="40" w:line="252" w:lineRule="auto"/>
        <w:jc w:val="right"/>
        <w:rPr>
          <w:szCs w:val="21"/>
        </w:rPr>
      </w:pPr>
      <w:r w:rsidRPr="004D2F29">
        <w:rPr>
          <w:color w:val="1A1A1A"/>
          <w:szCs w:val="21"/>
        </w:rPr>
        <w:t>Rafaela Cougo Rios</w:t>
      </w:r>
      <w:r w:rsidRPr="004D2F29">
        <w:rPr>
          <w:color w:val="1A1A1A"/>
          <w:szCs w:val="21"/>
          <w:vertAlign w:val="superscript"/>
        </w:rPr>
        <w:t>1</w:t>
      </w:r>
      <w:r w:rsidRPr="004D2F29">
        <w:rPr>
          <w:szCs w:val="21"/>
        </w:rPr>
        <w:br/>
      </w:r>
      <w:r w:rsidRPr="004D2F29">
        <w:rPr>
          <w:color w:val="1A1A1A"/>
          <w:szCs w:val="21"/>
        </w:rPr>
        <w:t>Lucas do Amaral Gressler</w:t>
      </w:r>
      <w:r w:rsidRPr="004D2F29">
        <w:rPr>
          <w:color w:val="1A1A1A"/>
          <w:szCs w:val="21"/>
          <w:vertAlign w:val="superscript"/>
        </w:rPr>
        <w:t>1</w:t>
      </w:r>
      <w:r w:rsidRPr="004D2F29">
        <w:rPr>
          <w:szCs w:val="21"/>
        </w:rPr>
        <w:br/>
      </w:r>
      <w:r w:rsidRPr="004D2F29">
        <w:rPr>
          <w:color w:val="1A1A1A"/>
          <w:szCs w:val="21"/>
        </w:rPr>
        <w:t>Luiza Didone</w:t>
      </w:r>
      <w:r w:rsidRPr="004D2F29">
        <w:rPr>
          <w:color w:val="1A1A1A"/>
          <w:szCs w:val="21"/>
          <w:vertAlign w:val="superscript"/>
        </w:rPr>
        <w:t>1</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Introdução</w:t>
      </w:r>
      <w:r w:rsidRPr="004D2F29">
        <w:rPr>
          <w:color w:val="1A1A1A"/>
          <w:sz w:val="22"/>
        </w:rPr>
        <w:t xml:space="preserve">: Os transtornos da tireoide, incluindo hipertireoidismo, hipotireoidismo, tireotoxicose e distúrbios relacionados à deficiência de iodo, constituem importante causa de morbidade e podem evoluir com complicações quando não diagnosticados e tratados oportunamente. Embora grande parte dos casos seja manejada em nível ambulatorial, as internações hospitalares refletem situações de descompensação clínica, permitindo dimensionar o impacto no sistema público de saúde. </w:t>
      </w:r>
      <w:r w:rsidRPr="004D2F29">
        <w:rPr>
          <w:b/>
          <w:color w:val="1A1A1A"/>
          <w:sz w:val="22"/>
        </w:rPr>
        <w:t>Objetivo:</w:t>
      </w:r>
      <w:r w:rsidRPr="004D2F29">
        <w:rPr>
          <w:color w:val="1A1A1A"/>
          <w:sz w:val="22"/>
        </w:rPr>
        <w:t xml:space="preserve"> Analisar o perfil epidemiológico, a variação temporal, a taxa média anual de internação e a mortalidade hospitalar por transtornos da tireoide na Região Sul do Brasil entre 2008 e 2024. </w:t>
      </w:r>
      <w:r w:rsidRPr="004D2F29">
        <w:rPr>
          <w:b/>
          <w:color w:val="1A1A1A"/>
          <w:sz w:val="22"/>
        </w:rPr>
        <w:t xml:space="preserve">Métodos: </w:t>
      </w:r>
      <w:r w:rsidRPr="004D2F29">
        <w:rPr>
          <w:color w:val="1A1A1A"/>
          <w:sz w:val="22"/>
        </w:rPr>
        <w:t xml:space="preserve">Estudo epidemiológico, descritivo e retrospectivo, com dados do Sistema de Informações Hospitalares do SUS (SIH/SUS), disponibilizados pelo DATASUS. Foram incluídas internações entre 2008 e 2024 com códigos E00–E07 da CID-10. Internações por neoplasia maligna da tireoide (C73) não foram incluídas. Excluiu-se 2025 por apresentar dados parciais. Analisaram-se ano de internação, sexo, faixa etária e óbito hospitalar. Calculou-se a taxa média anual de internação por 100.000 habitantes utilizando a população da Região Sul segundo o Censo 2022 do IBGE (29,92 milhões), além da taxa de mortalidade hospitalar (óbitos/internações ×100). </w:t>
      </w:r>
      <w:r w:rsidRPr="004D2F29">
        <w:rPr>
          <w:b/>
          <w:color w:val="1A1A1A"/>
          <w:sz w:val="22"/>
        </w:rPr>
        <w:t>Resultados:</w:t>
      </w:r>
      <w:r w:rsidRPr="004D2F29">
        <w:rPr>
          <w:color w:val="1A1A1A"/>
          <w:sz w:val="22"/>
        </w:rPr>
        <w:t xml:space="preserve"> Entre 2008 e 2024 registraram-se 10.179 internações por transtornos da tireoide na Região Sul, com redução de 846 casos em 2008 para 616 em 2024. A taxa média anual de internação foi de aproximadamente 2,0 por 100.000 habitantes. A mortalidade hospitalar média foi de 1,0%, variando entre 0,35% e 2,52%. Houve predominância do sexo feminino (82,9%), com razão aproximada de 5:1 em relação ao masculino. A maior concentração ocorreu entre 40 e 59 anos (38,5%), seguida por 20 a 39 anos (28,1%) e â‰¥60 anos (26,8%), enquanto 0 a 19 anos representou 6,6% dos casos. </w:t>
      </w:r>
      <w:r w:rsidRPr="004D2F29">
        <w:rPr>
          <w:b/>
          <w:color w:val="1A1A1A"/>
          <w:sz w:val="22"/>
        </w:rPr>
        <w:t>Conclusão:</w:t>
      </w:r>
      <w:r w:rsidRPr="004D2F29">
        <w:rPr>
          <w:color w:val="1A1A1A"/>
          <w:sz w:val="22"/>
        </w:rPr>
        <w:t xml:space="preserve"> Observou-se redução das internações por transtornos da tireoide, com baixa taxa de internação e de mortalidade. A predominância feminina e a maior frequência em adultos de meia-idade refletem o perfil epidemiológico conhecido. Os achados sugerem predomínio de manejo ambulatorial e baixa letalidade hospitalar, ressaltando </w:t>
      </w:r>
      <w:proofErr w:type="gramStart"/>
      <w:r w:rsidRPr="004D2F29">
        <w:rPr>
          <w:color w:val="1A1A1A"/>
          <w:sz w:val="22"/>
        </w:rPr>
        <w:t>a</w:t>
      </w:r>
      <w:proofErr w:type="gramEnd"/>
      <w:r w:rsidRPr="004D2F29">
        <w:rPr>
          <w:color w:val="1A1A1A"/>
          <w:sz w:val="22"/>
        </w:rPr>
        <w:t xml:space="preserve"> importância do acompanhamento para prevenir hospitalizações evitáveis. As internações analisadas refletem episódios de descompensação clínica desses transtornos, visto que não foram incluídas hospitalizações relacionadas ao tratamento cirúrgico de neoplasias da tireoide.</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Franciscana (UFN</w:t>
      </w:r>
    </w:p>
    <w:p w:rsidR="000B5910" w:rsidRDefault="000B5910">
      <w:pPr>
        <w:sectPr w:rsidR="000B5910">
          <w:headerReference w:type="default" r:id="rId243"/>
          <w:footerReference w:type="default" r:id="rId244"/>
          <w:pgSz w:w="12240" w:h="15840"/>
          <w:pgMar w:top="1417" w:right="1417" w:bottom="1417" w:left="1417" w:header="680" w:footer="680" w:gutter="0"/>
          <w:cols w:space="720"/>
        </w:sectPr>
      </w:pPr>
    </w:p>
    <w:p w:rsidR="000B5910" w:rsidRDefault="00057F5C">
      <w:pPr>
        <w:spacing w:before="80" w:line="252" w:lineRule="auto"/>
        <w:jc w:val="center"/>
        <w:rPr>
          <w:spacing w:val="-17"/>
          <w:sz w:val="22"/>
          <w:szCs w:val="24"/>
        </w:rPr>
      </w:pPr>
      <w:r>
        <w:rPr>
          <w:b/>
          <w:color w:val="1A1A1A"/>
          <w:spacing w:val="-17"/>
          <w:sz w:val="28"/>
          <w:szCs w:val="24"/>
        </w:rPr>
        <w:lastRenderedPageBreak/>
        <w:t>PERFIL EPIDEMIOLÓGICO DAS INTERNAÇÕES HOSPITALARES POR TIREOTOXICOSE NO RIO GRANDE DO SUL NO PERÍODO DE 2008 A 2025</w:t>
      </w:r>
    </w:p>
    <w:p w:rsidR="000B5910" w:rsidRPr="004D2F29" w:rsidRDefault="00057F5C">
      <w:pPr>
        <w:spacing w:after="40" w:line="252" w:lineRule="auto"/>
        <w:jc w:val="right"/>
        <w:rPr>
          <w:szCs w:val="21"/>
        </w:rPr>
      </w:pPr>
      <w:r w:rsidRPr="004D2F29">
        <w:rPr>
          <w:color w:val="1A1A1A"/>
          <w:szCs w:val="21"/>
        </w:rPr>
        <w:t>Daphne Dorneles Carús</w:t>
      </w:r>
      <w:r w:rsidRPr="004D2F29">
        <w:rPr>
          <w:color w:val="1A1A1A"/>
          <w:szCs w:val="21"/>
          <w:vertAlign w:val="superscript"/>
        </w:rPr>
        <w:t>1</w:t>
      </w:r>
      <w:r w:rsidRPr="004D2F29">
        <w:rPr>
          <w:szCs w:val="21"/>
        </w:rPr>
        <w:br/>
      </w:r>
      <w:r w:rsidRPr="004D2F29">
        <w:rPr>
          <w:color w:val="1A1A1A"/>
          <w:szCs w:val="21"/>
        </w:rPr>
        <w:t>Valdoir dos Santos Silva Filho</w:t>
      </w:r>
      <w:r w:rsidRPr="004D2F29">
        <w:rPr>
          <w:color w:val="1A1A1A"/>
          <w:szCs w:val="21"/>
          <w:vertAlign w:val="superscript"/>
        </w:rPr>
        <w:t>1</w:t>
      </w:r>
      <w:r w:rsidRPr="004D2F29">
        <w:rPr>
          <w:szCs w:val="21"/>
        </w:rPr>
        <w:br/>
      </w:r>
      <w:r w:rsidRPr="004D2F29">
        <w:rPr>
          <w:color w:val="1A1A1A"/>
          <w:szCs w:val="21"/>
        </w:rPr>
        <w:t>Alice Rodrigues Mazaro</w:t>
      </w:r>
      <w:r w:rsidRPr="004D2F29">
        <w:rPr>
          <w:color w:val="1A1A1A"/>
          <w:szCs w:val="21"/>
          <w:vertAlign w:val="superscript"/>
        </w:rPr>
        <w:t>1</w:t>
      </w:r>
      <w:r w:rsidRPr="004D2F29">
        <w:rPr>
          <w:szCs w:val="21"/>
        </w:rPr>
        <w:br/>
      </w:r>
      <w:r w:rsidRPr="004D2F29">
        <w:rPr>
          <w:color w:val="1A1A1A"/>
          <w:szCs w:val="21"/>
        </w:rPr>
        <w:t>Andressa Caroline Dalla Porta Stock</w:t>
      </w:r>
      <w:r w:rsidRPr="004D2F29">
        <w:rPr>
          <w:color w:val="1A1A1A"/>
          <w:szCs w:val="21"/>
          <w:vertAlign w:val="superscript"/>
        </w:rPr>
        <w:t>1</w:t>
      </w:r>
      <w:r w:rsidRPr="004D2F29">
        <w:rPr>
          <w:szCs w:val="21"/>
        </w:rPr>
        <w:br/>
      </w:r>
      <w:r w:rsidRPr="004D2F29">
        <w:rPr>
          <w:color w:val="1A1A1A"/>
          <w:szCs w:val="21"/>
        </w:rPr>
        <w:t>Dayla Barbieri Nunes</w:t>
      </w:r>
      <w:r w:rsidRPr="004D2F29">
        <w:rPr>
          <w:color w:val="1A1A1A"/>
          <w:szCs w:val="21"/>
          <w:vertAlign w:val="superscript"/>
        </w:rPr>
        <w:t>1</w:t>
      </w:r>
      <w:r w:rsidRPr="004D2F29">
        <w:rPr>
          <w:szCs w:val="21"/>
        </w:rPr>
        <w:br/>
      </w:r>
      <w:r w:rsidRPr="004D2F29">
        <w:rPr>
          <w:color w:val="1A1A1A"/>
          <w:szCs w:val="21"/>
        </w:rPr>
        <w:t>Marcella Waihrich de Oliveira</w:t>
      </w:r>
      <w:r w:rsidRPr="004D2F29">
        <w:rPr>
          <w:color w:val="1A1A1A"/>
          <w:szCs w:val="21"/>
          <w:vertAlign w:val="superscript"/>
        </w:rPr>
        <w:t>1</w:t>
      </w:r>
      <w:r w:rsidRPr="004D2F29">
        <w:rPr>
          <w:szCs w:val="21"/>
        </w:rPr>
        <w:br/>
      </w:r>
      <w:r w:rsidRPr="004D2F29">
        <w:rPr>
          <w:color w:val="1A1A1A"/>
          <w:szCs w:val="21"/>
        </w:rPr>
        <w:t>Stella Gai de Oliveira</w:t>
      </w:r>
      <w:r w:rsidRPr="004D2F29">
        <w:rPr>
          <w:color w:val="1A1A1A"/>
          <w:szCs w:val="21"/>
          <w:vertAlign w:val="superscript"/>
        </w:rPr>
        <w:t>1</w:t>
      </w:r>
      <w:r w:rsidRPr="004D2F29">
        <w:rPr>
          <w:szCs w:val="21"/>
        </w:rPr>
        <w:br/>
      </w:r>
      <w:r w:rsidRPr="004D2F29">
        <w:rPr>
          <w:color w:val="1A1A1A"/>
          <w:szCs w:val="21"/>
        </w:rPr>
        <w:t>Emilly Barcelos da Silva</w:t>
      </w:r>
      <w:r w:rsidRPr="004D2F29">
        <w:rPr>
          <w:color w:val="1A1A1A"/>
          <w:szCs w:val="21"/>
          <w:vertAlign w:val="superscript"/>
        </w:rPr>
        <w:t>1</w:t>
      </w:r>
      <w:r w:rsidRPr="004D2F29">
        <w:rPr>
          <w:szCs w:val="21"/>
        </w:rPr>
        <w:br/>
      </w:r>
      <w:r w:rsidRPr="004D2F29">
        <w:rPr>
          <w:color w:val="1A1A1A"/>
          <w:szCs w:val="21"/>
        </w:rPr>
        <w:t>Luiza De Gregori Dutra</w:t>
      </w:r>
      <w:r w:rsidRPr="004D2F29">
        <w:rPr>
          <w:color w:val="1A1A1A"/>
          <w:szCs w:val="21"/>
          <w:vertAlign w:val="superscript"/>
        </w:rPr>
        <w:t>1</w:t>
      </w:r>
      <w:r w:rsidRPr="004D2F29">
        <w:rPr>
          <w:szCs w:val="21"/>
        </w:rPr>
        <w:br/>
      </w:r>
      <w:r w:rsidRPr="004D2F29">
        <w:rPr>
          <w:color w:val="1A1A1A"/>
          <w:szCs w:val="21"/>
        </w:rPr>
        <w:t>Gilyell Adolfo Souza</w:t>
      </w:r>
      <w:r w:rsidRPr="004D2F29">
        <w:rPr>
          <w:color w:val="1A1A1A"/>
          <w:szCs w:val="21"/>
          <w:vertAlign w:val="superscript"/>
        </w:rPr>
        <w:t>1</w:t>
      </w:r>
      <w:r w:rsidRPr="004D2F29">
        <w:rPr>
          <w:szCs w:val="21"/>
        </w:rPr>
        <w:br/>
      </w:r>
      <w:r w:rsidRPr="004D2F29">
        <w:rPr>
          <w:color w:val="1A1A1A"/>
          <w:szCs w:val="21"/>
        </w:rPr>
        <w:t>Sabrina Somavilla</w:t>
      </w:r>
      <w:r w:rsidRPr="004D2F29">
        <w:rPr>
          <w:color w:val="1A1A1A"/>
          <w:szCs w:val="21"/>
          <w:vertAlign w:val="superscript"/>
        </w:rPr>
        <w:t>1</w:t>
      </w:r>
      <w:r w:rsidRPr="004D2F29">
        <w:rPr>
          <w:szCs w:val="21"/>
        </w:rPr>
        <w:br/>
      </w:r>
      <w:r w:rsidRPr="004D2F29">
        <w:rPr>
          <w:color w:val="1A1A1A"/>
          <w:szCs w:val="21"/>
        </w:rPr>
        <w:t>João Lucas da Silva Veron</w:t>
      </w:r>
      <w:r w:rsidRPr="004D2F29">
        <w:rPr>
          <w:color w:val="1A1A1A"/>
          <w:szCs w:val="21"/>
          <w:vertAlign w:val="superscript"/>
        </w:rPr>
        <w:t>1</w:t>
      </w:r>
      <w:r w:rsidRPr="004D2F29">
        <w:rPr>
          <w:szCs w:val="21"/>
        </w:rPr>
        <w:br/>
      </w:r>
      <w:r w:rsidRPr="004D2F29">
        <w:rPr>
          <w:color w:val="1A1A1A"/>
          <w:szCs w:val="21"/>
        </w:rPr>
        <w:t>Yan Gabriel Flôres Beck</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rsidP="004D2F29">
      <w:pPr>
        <w:spacing w:after="80" w:line="240" w:lineRule="auto"/>
        <w:jc w:val="both"/>
        <w:rPr>
          <w:sz w:val="22"/>
        </w:rPr>
      </w:pPr>
      <w:r w:rsidRPr="004D2F29">
        <w:rPr>
          <w:b/>
          <w:color w:val="1A1A1A"/>
          <w:sz w:val="22"/>
        </w:rPr>
        <w:t>Introdução:</w:t>
      </w:r>
      <w:r w:rsidRPr="004D2F29">
        <w:rPr>
          <w:color w:val="1A1A1A"/>
          <w:sz w:val="22"/>
        </w:rPr>
        <w:t xml:space="preserve"> A tireotoxicose é uma síndrome associada a manifestações sistêmicas e metabólicas causadas por disfunções tireoidianas, como a Doença de Graves e o bócio multinodular tóxico. Tais doenças podem apresentar complicações, como fibrilação atrial, insuficiência cardíaca e crise tireotóxica, que integram as principais causas de hospitalizações relacionadas ao distúrbio endócrino.</w:t>
      </w:r>
      <w:r w:rsidRPr="004D2F29">
        <w:rPr>
          <w:b/>
          <w:color w:val="1A1A1A"/>
          <w:sz w:val="22"/>
        </w:rPr>
        <w:t xml:space="preserve"> Objetivo:</w:t>
      </w:r>
      <w:r w:rsidRPr="004D2F29">
        <w:rPr>
          <w:color w:val="1A1A1A"/>
          <w:sz w:val="22"/>
        </w:rPr>
        <w:t xml:space="preserve"> Analisar o perfil epidemiológico das internações hospitalares por tireotoxicose no Rio Grande do Sul (RS) entre janeiro de 2008 e novembro de 2025, a fim de avaliar o impacto clínico e gravidade da patologia para o Sistema Único de Saúde (SUS). </w:t>
      </w:r>
      <w:r w:rsidRPr="004D2F29">
        <w:rPr>
          <w:b/>
          <w:color w:val="1A1A1A"/>
          <w:sz w:val="22"/>
        </w:rPr>
        <w:t>Métodos:</w:t>
      </w:r>
      <w:r w:rsidRPr="004D2F29">
        <w:rPr>
          <w:color w:val="1A1A1A"/>
          <w:sz w:val="22"/>
        </w:rPr>
        <w:t xml:space="preserve"> Trata-se de um estudo descritivo de série temporal referente às internações por tireotoxicose (CID 10 E05) no RS. Os dados foram obtidos no Sistema de Informações Hospitalares do SUS (SIH/SUS), disponível no </w:t>
      </w:r>
      <w:proofErr w:type="gramStart"/>
      <w:r w:rsidRPr="004D2F29">
        <w:rPr>
          <w:color w:val="1A1A1A"/>
          <w:sz w:val="22"/>
        </w:rPr>
        <w:t>DATASUS,e</w:t>
      </w:r>
      <w:proofErr w:type="gramEnd"/>
      <w:r w:rsidRPr="004D2F29">
        <w:rPr>
          <w:color w:val="1A1A1A"/>
          <w:sz w:val="22"/>
        </w:rPr>
        <w:t xml:space="preserve"> foram analisadas variáveis como número de internações, média de permanência, taxa de mortalidade, sexo e faixa etária.</w:t>
      </w:r>
      <w:r w:rsidRPr="004D2F29">
        <w:rPr>
          <w:b/>
          <w:color w:val="1A1A1A"/>
          <w:sz w:val="22"/>
        </w:rPr>
        <w:t xml:space="preserve"> Resultados</w:t>
      </w:r>
      <w:r w:rsidRPr="004D2F29">
        <w:rPr>
          <w:color w:val="1A1A1A"/>
          <w:sz w:val="22"/>
        </w:rPr>
        <w:t xml:space="preserve">: Ao longo dos anos analisados, foram registradas 633 internações por tireotoxicose no RS, com média anual de 35,2 casos e desvio padrão (DP) de 5,3. Observou-se uma redução de 21% no número de hospitalizações entre o primeiro e o último ano da série. A tendência de queda confirmou-se na análise temporal das taxas de internação por 100 mil habitantes, com decréscimo médio anual de 1,9% (p=0,007). Houve predominância de hospitalizações em pacientes do sexo feminino (79,3%), com razão de 3,8:1 em relação ao sexo masculino. Nesse contexto, destaca-se que os 7 óbitos registrados ocorreram em mulheres. Quanto à distribuição etária, as internações concentraram-se na faixa de 40-59 anos, sendo 58,4% dos casos em pacientes com 40 anos ou mais. Em relação ao tempo de permanência hospitalar, média foi de 7,7 dias (DP: 2,0), sem correlação estatística com a </w:t>
      </w:r>
      <w:proofErr w:type="gramStart"/>
      <w:r w:rsidRPr="004D2F29">
        <w:rPr>
          <w:color w:val="1A1A1A"/>
          <w:sz w:val="22"/>
        </w:rPr>
        <w:t>taxa</w:t>
      </w:r>
      <w:proofErr w:type="gramEnd"/>
      <w:r w:rsidRPr="004D2F29">
        <w:rPr>
          <w:color w:val="1A1A1A"/>
          <w:sz w:val="22"/>
        </w:rPr>
        <w:t xml:space="preserve"> de mortalidade global (1,1%, R: -0,43). </w:t>
      </w:r>
      <w:r w:rsidRPr="004D2F29">
        <w:rPr>
          <w:b/>
          <w:color w:val="1A1A1A"/>
          <w:sz w:val="22"/>
        </w:rPr>
        <w:t xml:space="preserve">Conclusão: </w:t>
      </w:r>
      <w:r w:rsidRPr="004D2F29">
        <w:rPr>
          <w:color w:val="1A1A1A"/>
          <w:sz w:val="22"/>
        </w:rPr>
        <w:t>As internações por tireotoxicose no RS reduziram no período analisado, sugerindo avanços no diagnóstico e no manejo clínico. Já a prevalência de hospitalizações no sexo feminino, com predomínio em indivíduos com mais de 40 anos, é um reflexo da epidemiologia da tireotoxicose, que é naturalmente mais prevalente em mulheres de meia-idade. Portanto, apesar do número não tão expressivo de casos, este estudo retrata que os resultados são consistentes com o perfil epidemiológico da doença e sugere um bom manejo ambulatorial.</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Franciscana</w:t>
      </w:r>
    </w:p>
    <w:p w:rsidR="000B5910" w:rsidRDefault="000B5910">
      <w:pPr>
        <w:sectPr w:rsidR="000B5910">
          <w:headerReference w:type="default" r:id="rId245"/>
          <w:footerReference w:type="default" r:id="rId24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BIOMARCADORES NO CÂNCER DE TIREOIDE: UMA REVISÃO SISTEMÁTICA SOBRE APLICAÇÕES DIAGNÓSTICAS E PROGNÓSTICAS</w:t>
      </w:r>
    </w:p>
    <w:p w:rsidR="000B5910" w:rsidRPr="004D2F29" w:rsidRDefault="00057F5C">
      <w:pPr>
        <w:spacing w:after="40" w:line="252" w:lineRule="auto"/>
        <w:jc w:val="right"/>
        <w:rPr>
          <w:szCs w:val="21"/>
        </w:rPr>
      </w:pPr>
      <w:r w:rsidRPr="004D2F29">
        <w:rPr>
          <w:color w:val="1A1A1A"/>
          <w:szCs w:val="21"/>
        </w:rPr>
        <w:t>Amanda de Conti Margutti</w:t>
      </w:r>
      <w:r w:rsidRPr="004D2F29">
        <w:rPr>
          <w:color w:val="1A1A1A"/>
          <w:szCs w:val="21"/>
          <w:vertAlign w:val="superscript"/>
        </w:rPr>
        <w:t>1</w:t>
      </w:r>
      <w:r w:rsidRPr="004D2F29">
        <w:rPr>
          <w:szCs w:val="21"/>
        </w:rPr>
        <w:br/>
      </w:r>
      <w:r w:rsidRPr="004D2F29">
        <w:rPr>
          <w:color w:val="1A1A1A"/>
          <w:szCs w:val="21"/>
        </w:rPr>
        <w:t>Eduarda Lucchese Osmarin</w:t>
      </w:r>
      <w:r w:rsidRPr="004D2F29">
        <w:rPr>
          <w:color w:val="1A1A1A"/>
          <w:szCs w:val="21"/>
          <w:vertAlign w:val="superscript"/>
        </w:rPr>
        <w:t>1</w:t>
      </w:r>
      <w:r w:rsidRPr="004D2F29">
        <w:rPr>
          <w:szCs w:val="21"/>
        </w:rPr>
        <w:br/>
      </w:r>
      <w:r w:rsidRPr="004D2F29">
        <w:rPr>
          <w:color w:val="1A1A1A"/>
          <w:szCs w:val="21"/>
        </w:rPr>
        <w:t>Augusto Lunkes Hartmann</w:t>
      </w:r>
      <w:r w:rsidRPr="004D2F29">
        <w:rPr>
          <w:color w:val="1A1A1A"/>
          <w:szCs w:val="21"/>
          <w:vertAlign w:val="superscript"/>
        </w:rPr>
        <w:t>1</w:t>
      </w:r>
      <w:r w:rsidRPr="004D2F29">
        <w:rPr>
          <w:szCs w:val="21"/>
        </w:rPr>
        <w:br/>
      </w:r>
      <w:r w:rsidRPr="004D2F29">
        <w:rPr>
          <w:color w:val="1A1A1A"/>
          <w:szCs w:val="21"/>
        </w:rPr>
        <w:t>João Pedro Bandeira</w:t>
      </w:r>
      <w:r w:rsidRPr="004D2F29">
        <w:rPr>
          <w:color w:val="1A1A1A"/>
          <w:szCs w:val="21"/>
          <w:vertAlign w:val="superscript"/>
        </w:rPr>
        <w:t>1</w:t>
      </w:r>
      <w:r w:rsidRPr="004D2F29">
        <w:rPr>
          <w:szCs w:val="21"/>
        </w:rPr>
        <w:br/>
      </w:r>
      <w:r w:rsidRPr="004D2F29">
        <w:rPr>
          <w:color w:val="1A1A1A"/>
          <w:szCs w:val="21"/>
        </w:rPr>
        <w:t>João Vitor Bagatini</w:t>
      </w:r>
      <w:r w:rsidRPr="004D2F29">
        <w:rPr>
          <w:color w:val="1A1A1A"/>
          <w:szCs w:val="21"/>
          <w:vertAlign w:val="superscript"/>
        </w:rPr>
        <w:t>1</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Introdução:</w:t>
      </w:r>
      <w:r w:rsidRPr="004D2F29">
        <w:rPr>
          <w:color w:val="1A1A1A"/>
          <w:sz w:val="22"/>
        </w:rPr>
        <w:t xml:space="preserve"> O câncer de tireoide é a neoplasia endócrina mais frequente, com incidência crescente nas últimas décadas. Diante da heterogeneidade clínica da doença, biomarcadores têm sido investigados como ferramentas auxiliares no diagnóstico, estratificação prognóstica e definição de condutas terapêuticas, embora as evidências disponíveis ainda sejam escassas. </w:t>
      </w:r>
      <w:r w:rsidRPr="004D2F29">
        <w:rPr>
          <w:b/>
          <w:color w:val="1A1A1A"/>
          <w:sz w:val="22"/>
        </w:rPr>
        <w:t>Objetivo:</w:t>
      </w:r>
      <w:r w:rsidRPr="004D2F29">
        <w:rPr>
          <w:color w:val="1A1A1A"/>
          <w:sz w:val="22"/>
        </w:rPr>
        <w:t xml:space="preserve"> Avaliar sistematicamente as evidências disponíveis sobre biomarcadores associados ao diagnóstico e prognóstico de pacientes com câncer de tireoide. </w:t>
      </w:r>
      <w:r w:rsidRPr="004D2F29">
        <w:rPr>
          <w:b/>
          <w:color w:val="1A1A1A"/>
          <w:sz w:val="22"/>
        </w:rPr>
        <w:t>Métodos:</w:t>
      </w:r>
      <w:r w:rsidRPr="004D2F29">
        <w:rPr>
          <w:color w:val="1A1A1A"/>
          <w:sz w:val="22"/>
        </w:rPr>
        <w:t xml:space="preserve"> Foi realizada uma revisão sistemática da literatura nas bases PubMed e SciELO, utilizando os descritores “thyroid cancer AND biomarkers”. Aplicaram-se os seguintes filtros: últimos 5 anos, estudos clínicos (Clinical Study, Clinical Trial e Meta-Analysis), idioma inglês e estudos em humanos. Dos 68 artigos identificados, 28 foram selecionados após triagem por título e 11 após leitura dos resumos. A seleção foi conduzida de forma independente por dois revisores. </w:t>
      </w:r>
      <w:r w:rsidRPr="004D2F29">
        <w:rPr>
          <w:b/>
          <w:color w:val="1A1A1A"/>
          <w:sz w:val="22"/>
        </w:rPr>
        <w:t>Resultados:</w:t>
      </w:r>
      <w:r w:rsidRPr="004D2F29">
        <w:rPr>
          <w:color w:val="1A1A1A"/>
          <w:sz w:val="22"/>
        </w:rPr>
        <w:t xml:space="preserve"> Os 11 estudos incluídos avaliaram predominantemente pacientes com carcinoma diferenciado da tireoide, especialmente carcinoma papilífero, totalizando mais de 2.500 indivíduos. Os biomarcadores investigados abrangeram marcadores séricos, moleculares e de expressão gênica, com aplicações no diagnóstico, estratificação de risco, prognóstico e resposta terapêutica. No carcinoma diferenciado refratário ao radioiodo, níveis reduzidos de Angiopoietina-2 e sTie2 associaram-se a melhor prognóstico, enquanto níveis elevados de IGF-1 relacionaram-se à doença mais avançada. </w:t>
      </w:r>
      <w:proofErr w:type="gramStart"/>
      <w:r w:rsidRPr="004D2F29">
        <w:rPr>
          <w:color w:val="1A1A1A"/>
          <w:sz w:val="22"/>
        </w:rPr>
        <w:t>A</w:t>
      </w:r>
      <w:proofErr w:type="gramEnd"/>
      <w:r w:rsidRPr="004D2F29">
        <w:rPr>
          <w:color w:val="1A1A1A"/>
          <w:sz w:val="22"/>
        </w:rPr>
        <w:t xml:space="preserve"> expressão aumentada de PD-L1, particularmente em tumores com mutações BRAFV600E e TERT, associou-se a maior agressividade tumoral, resistência ao radioiodo e maior risco de recorrência. Outras alterações genéticas relevantes incluíram a fusão PAX8-PPARG, mutações em RAS, RET, SLX4, ATM, NRAS e THADA, além da deleção do gene SESN2 e baixa expressão de TFF3, associadas a pior evolução clínica. Modelos preditivos baseados na combinação de biomarcadores apresentaram melhor desempenho diagnóstico e prognóstico do que marcadores isolados. </w:t>
      </w:r>
      <w:r w:rsidRPr="004D2F29">
        <w:rPr>
          <w:b/>
          <w:color w:val="1A1A1A"/>
          <w:sz w:val="22"/>
        </w:rPr>
        <w:t>Conclusão:</w:t>
      </w:r>
      <w:r w:rsidRPr="004D2F29">
        <w:rPr>
          <w:color w:val="1A1A1A"/>
          <w:sz w:val="22"/>
        </w:rPr>
        <w:t xml:space="preserve"> Biomarcadores moleculares, séricos e genéticos apresentam potencial relevante no diagnóstico e prognóstico do câncer de tireoide, especialmente quando utilizados de forma combinada. Entretanto, a heterogeneidade metodológica dos estudos reforça a necessidade de investigações adicionais antes de sua incorporação rotineira na prática clínica.</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do Vale do Taquari - Univates</w:t>
      </w:r>
    </w:p>
    <w:p w:rsidR="000B5910" w:rsidRDefault="000B5910">
      <w:pPr>
        <w:sectPr w:rsidR="000B5910">
          <w:headerReference w:type="default" r:id="rId247"/>
          <w:footerReference w:type="default" r:id="rId24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ABLAÇÃO POR ETANOL DE METÁSTASE NODAL NO CARCINOMA DIFERENCIADO DE TIREOIDE: UMA REVISÃO SISTEMÁTICA E META-ANÁLISE</w:t>
      </w:r>
    </w:p>
    <w:p w:rsidR="000B5910" w:rsidRPr="004D2F29" w:rsidRDefault="00057F5C">
      <w:pPr>
        <w:spacing w:after="40" w:line="252" w:lineRule="auto"/>
        <w:jc w:val="right"/>
        <w:rPr>
          <w:szCs w:val="21"/>
        </w:rPr>
      </w:pPr>
      <w:r w:rsidRPr="004D2F29">
        <w:rPr>
          <w:color w:val="1A1A1A"/>
          <w:szCs w:val="21"/>
        </w:rPr>
        <w:t>Pedro Henrique Tavares Fogaça</w:t>
      </w:r>
      <w:r w:rsidRPr="004D2F29">
        <w:rPr>
          <w:color w:val="1A1A1A"/>
          <w:szCs w:val="21"/>
          <w:vertAlign w:val="superscript"/>
        </w:rPr>
        <w:t>1</w:t>
      </w:r>
      <w:r w:rsidRPr="004D2F29">
        <w:rPr>
          <w:szCs w:val="21"/>
        </w:rPr>
        <w:br/>
      </w:r>
      <w:r w:rsidRPr="004D2F29">
        <w:rPr>
          <w:color w:val="1A1A1A"/>
          <w:szCs w:val="21"/>
        </w:rPr>
        <w:t>Anita Lavarda Scheinpflug</w:t>
      </w:r>
      <w:r w:rsidRPr="004D2F29">
        <w:rPr>
          <w:color w:val="1A1A1A"/>
          <w:szCs w:val="21"/>
          <w:vertAlign w:val="superscript"/>
        </w:rPr>
        <w:t>2</w:t>
      </w:r>
      <w:r w:rsidRPr="004D2F29">
        <w:rPr>
          <w:szCs w:val="21"/>
        </w:rPr>
        <w:br/>
      </w:r>
      <w:r w:rsidRPr="004D2F29">
        <w:rPr>
          <w:color w:val="1A1A1A"/>
          <w:szCs w:val="21"/>
        </w:rPr>
        <w:t>⁠Leonardo Barbi Walter</w:t>
      </w:r>
      <w:r w:rsidRPr="004D2F29">
        <w:rPr>
          <w:color w:val="1A1A1A"/>
          <w:szCs w:val="21"/>
          <w:vertAlign w:val="superscript"/>
        </w:rPr>
        <w:t>3</w:t>
      </w:r>
      <w:r w:rsidRPr="004D2F29">
        <w:rPr>
          <w:szCs w:val="21"/>
        </w:rPr>
        <w:br/>
      </w:r>
      <w:r w:rsidRPr="004D2F29">
        <w:rPr>
          <w:color w:val="1A1A1A"/>
          <w:szCs w:val="21"/>
        </w:rPr>
        <w:t>Laura Marmitt</w:t>
      </w:r>
      <w:r w:rsidRPr="004D2F29">
        <w:rPr>
          <w:color w:val="1A1A1A"/>
          <w:szCs w:val="21"/>
          <w:vertAlign w:val="superscript"/>
        </w:rPr>
        <w:t>3</w:t>
      </w:r>
      <w:r w:rsidRPr="004D2F29">
        <w:rPr>
          <w:szCs w:val="21"/>
        </w:rPr>
        <w:br/>
      </w:r>
      <w:r w:rsidRPr="004D2F29">
        <w:rPr>
          <w:color w:val="1A1A1A"/>
          <w:szCs w:val="21"/>
        </w:rPr>
        <w:t>André Borsatto Zanella</w:t>
      </w:r>
      <w:r w:rsidRPr="004D2F29">
        <w:rPr>
          <w:color w:val="1A1A1A"/>
          <w:szCs w:val="21"/>
          <w:vertAlign w:val="superscript"/>
        </w:rPr>
        <w:t>3</w:t>
      </w:r>
      <w:r w:rsidRPr="004D2F29">
        <w:rPr>
          <w:szCs w:val="21"/>
        </w:rPr>
        <w:br/>
      </w:r>
      <w:r w:rsidRPr="004D2F29">
        <w:rPr>
          <w:color w:val="1A1A1A"/>
          <w:szCs w:val="21"/>
        </w:rPr>
        <w:t>Rafael Selbach Scheffel</w:t>
      </w:r>
      <w:r w:rsidRPr="004D2F29">
        <w:rPr>
          <w:color w:val="1A1A1A"/>
          <w:szCs w:val="21"/>
          <w:vertAlign w:val="superscript"/>
        </w:rPr>
        <w:t>3</w:t>
      </w:r>
      <w:r w:rsidRPr="004D2F29">
        <w:rPr>
          <w:szCs w:val="21"/>
        </w:rPr>
        <w:br/>
      </w:r>
      <w:r w:rsidRPr="004D2F29">
        <w:rPr>
          <w:color w:val="1A1A1A"/>
          <w:szCs w:val="21"/>
        </w:rPr>
        <w:t>Ana Luiza Maia</w:t>
      </w:r>
      <w:r w:rsidRPr="004D2F29">
        <w:rPr>
          <w:color w:val="1A1A1A"/>
          <w:szCs w:val="21"/>
          <w:vertAlign w:val="superscript"/>
        </w:rPr>
        <w:t>3</w:t>
      </w:r>
      <w:r w:rsidRPr="004D2F29">
        <w:rPr>
          <w:szCs w:val="21"/>
        </w:rPr>
        <w:br/>
      </w:r>
      <w:r w:rsidRPr="004D2F29">
        <w:rPr>
          <w:color w:val="1A1A1A"/>
          <w:szCs w:val="21"/>
        </w:rPr>
        <w:t>⁠ José Miguel Dora</w:t>
      </w:r>
      <w:r w:rsidRPr="004D2F29">
        <w:rPr>
          <w:color w:val="1A1A1A"/>
          <w:szCs w:val="21"/>
          <w:vertAlign w:val="superscript"/>
        </w:rPr>
        <w:t>3</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 xml:space="preserve">Introdução: </w:t>
      </w:r>
      <w:r w:rsidRPr="004D2F29">
        <w:rPr>
          <w:color w:val="1A1A1A"/>
          <w:sz w:val="22"/>
        </w:rPr>
        <w:t xml:space="preserve">Linfonodos cervicais (LN) representam o local mais comum de recorrência no câncer diferenciado de tireoide (CDT), frequentemente exigindo intervenções que contribuem para aumento na morbidade de uma doença geralmente indolente. </w:t>
      </w:r>
      <w:r w:rsidRPr="004D2F29">
        <w:rPr>
          <w:b/>
          <w:color w:val="1A1A1A"/>
          <w:sz w:val="22"/>
        </w:rPr>
        <w:t xml:space="preserve">Objetivo: </w:t>
      </w:r>
      <w:r w:rsidRPr="004D2F29">
        <w:rPr>
          <w:color w:val="1A1A1A"/>
          <w:sz w:val="22"/>
        </w:rPr>
        <w:t xml:space="preserve">Os dados sobre </w:t>
      </w:r>
      <w:proofErr w:type="gramStart"/>
      <w:r w:rsidRPr="004D2F29">
        <w:rPr>
          <w:color w:val="1A1A1A"/>
          <w:sz w:val="22"/>
        </w:rPr>
        <w:t>a</w:t>
      </w:r>
      <w:proofErr w:type="gramEnd"/>
      <w:r w:rsidRPr="004D2F29">
        <w:rPr>
          <w:color w:val="1A1A1A"/>
          <w:sz w:val="22"/>
        </w:rPr>
        <w:t xml:space="preserve"> ablação por etanol (AE) de metástases nodais são limitados. Portanto, realizamos uma revisão sistemática e meta-análise para avaliar </w:t>
      </w:r>
      <w:proofErr w:type="gramStart"/>
      <w:r w:rsidRPr="004D2F29">
        <w:rPr>
          <w:color w:val="1A1A1A"/>
          <w:sz w:val="22"/>
        </w:rPr>
        <w:t>a</w:t>
      </w:r>
      <w:proofErr w:type="gramEnd"/>
      <w:r w:rsidRPr="004D2F29">
        <w:rPr>
          <w:color w:val="1A1A1A"/>
          <w:sz w:val="22"/>
        </w:rPr>
        <w:t xml:space="preserve"> AE em metástases nodais de pacientes com CDT. </w:t>
      </w:r>
      <w:r w:rsidRPr="004D2F29">
        <w:rPr>
          <w:b/>
          <w:color w:val="1A1A1A"/>
          <w:sz w:val="22"/>
        </w:rPr>
        <w:t xml:space="preserve">Métodos: </w:t>
      </w:r>
      <w:r w:rsidRPr="004D2F29">
        <w:rPr>
          <w:color w:val="1A1A1A"/>
          <w:sz w:val="22"/>
        </w:rPr>
        <w:t xml:space="preserve">As bases de dados PUBMED, EMBASE e Cochrane foram pesquisadas até fevereiro de 2026 em busca de estudos que incluíssem pacientes com CDT e LN metastáticos acompanhados após tratamento com AE. O desfecho primário foi progressão da doença, de acordo com a definição de cada estudo. Desfechos adicionais incluíram aumento do LN ≥ 3 mm, ocorrência de novas metástases cervicais e conversão do tratamento com AE para cirurgia. </w:t>
      </w:r>
      <w:r w:rsidRPr="004D2F29">
        <w:rPr>
          <w:b/>
          <w:color w:val="1A1A1A"/>
          <w:sz w:val="22"/>
        </w:rPr>
        <w:t>Resultados:</w:t>
      </w:r>
      <w:r w:rsidRPr="004D2F29">
        <w:rPr>
          <w:color w:val="1A1A1A"/>
          <w:sz w:val="22"/>
        </w:rPr>
        <w:t xml:space="preserve"> A busca identificou 154 estudos e 10 foram incluídos, totalizando 362 pacientes com CDT metastático em LN. A maioria era do sexo feminino (63,8%) e apresentava câncer papilífero de tireoide (95,9%). Considerando a definição de progressão de cada estudo, </w:t>
      </w:r>
      <w:proofErr w:type="gramStart"/>
      <w:r w:rsidRPr="004D2F29">
        <w:rPr>
          <w:color w:val="1A1A1A"/>
          <w:sz w:val="22"/>
        </w:rPr>
        <w:t>a</w:t>
      </w:r>
      <w:proofErr w:type="gramEnd"/>
      <w:r w:rsidRPr="004D2F29">
        <w:rPr>
          <w:color w:val="1A1A1A"/>
          <w:sz w:val="22"/>
        </w:rPr>
        <w:t xml:space="preserve"> incidência combinada foi de 30% [intervalo de confiança (IC) de 95%, 16–49%]. Ao combinar crescimento ≥ 3 mm e surgimento de novos LN como critério, encontramos uma incidência de 28% [IC 95%, 11–53%]. </w:t>
      </w:r>
      <w:proofErr w:type="gramStart"/>
      <w:r w:rsidRPr="004D2F29">
        <w:rPr>
          <w:color w:val="1A1A1A"/>
          <w:sz w:val="22"/>
        </w:rPr>
        <w:t>A</w:t>
      </w:r>
      <w:proofErr w:type="gramEnd"/>
      <w:r w:rsidRPr="004D2F29">
        <w:rPr>
          <w:color w:val="1A1A1A"/>
          <w:sz w:val="22"/>
        </w:rPr>
        <w:t xml:space="preserve"> incidência de linfadenectomia após AE foi de 15% [IC 95%, 8–25%]. Efeitos adversos (excluindo dor cervical leve) ocorreram em 9 de 221 pacientes: 5 lesões do nervo laríngeo recorrente (maioria transitória; 1 necessitando de intubação orotraqueal por lesão contralateral prévia), 1 celulite, 1 extravasamento pré-traqueal de etanol com dor torácica e 2 casos de dor cervical importante. </w:t>
      </w:r>
      <w:r w:rsidRPr="004D2F29">
        <w:rPr>
          <w:b/>
          <w:color w:val="1A1A1A"/>
          <w:sz w:val="22"/>
        </w:rPr>
        <w:t>Conclusão:</w:t>
      </w:r>
      <w:r w:rsidRPr="004D2F29">
        <w:rPr>
          <w:color w:val="1A1A1A"/>
          <w:sz w:val="22"/>
        </w:rPr>
        <w:t xml:space="preserve"> </w:t>
      </w:r>
      <w:proofErr w:type="gramStart"/>
      <w:r w:rsidRPr="004D2F29">
        <w:rPr>
          <w:color w:val="1A1A1A"/>
          <w:sz w:val="22"/>
        </w:rPr>
        <w:t>A</w:t>
      </w:r>
      <w:proofErr w:type="gramEnd"/>
      <w:r w:rsidRPr="004D2F29">
        <w:rPr>
          <w:color w:val="1A1A1A"/>
          <w:sz w:val="22"/>
        </w:rPr>
        <w:t xml:space="preserve"> AE parece ser uma estratégia adequada para pacientes selecionados com CDT e doença nodal pequena, evitando ou adiando a necessidade de reintervenção cirúrgica.</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Federal de Santa Maria (UFSM), Santa Maria, RS, Brasil</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Universidade do Vale do Itajaí (UNIVALI), Itajaí, SC, Brasil</w:t>
      </w:r>
    </w:p>
    <w:p w:rsidR="000B5910" w:rsidRPr="004D2F29" w:rsidRDefault="00057F5C">
      <w:pPr>
        <w:spacing w:after="0" w:line="252" w:lineRule="auto"/>
        <w:rPr>
          <w:sz w:val="16"/>
          <w:szCs w:val="16"/>
        </w:rPr>
      </w:pPr>
      <w:r w:rsidRPr="004D2F29">
        <w:rPr>
          <w:color w:val="595959"/>
          <w:sz w:val="16"/>
          <w:szCs w:val="16"/>
          <w:vertAlign w:val="superscript"/>
        </w:rPr>
        <w:t>3</w:t>
      </w:r>
      <w:r w:rsidRPr="004D2F29">
        <w:rPr>
          <w:color w:val="595959"/>
          <w:sz w:val="16"/>
          <w:szCs w:val="16"/>
        </w:rPr>
        <w:t xml:space="preserve"> Unidade da Tireoide, Hospital de Clínicas de Porto Alegre, Faculdade de Medicina, Universidade Federal do Rio Grande do Sul (UFRGS), Porto Alegre, RS, Brasil</w:t>
      </w:r>
    </w:p>
    <w:p w:rsidR="000B5910" w:rsidRDefault="000B5910">
      <w:pPr>
        <w:sectPr w:rsidR="000B5910">
          <w:headerReference w:type="default" r:id="rId249"/>
          <w:footerReference w:type="default" r:id="rId25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EXACERBAÇÃO DO QUADRO CLÍNICO DE HIPERTIREOIDISMO APÓS PUNÇÃO ASPIRATIVA DE NÓDULOS TIREOIDIANOS: RELATO DE CASO</w:t>
      </w:r>
    </w:p>
    <w:p w:rsidR="000B5910" w:rsidRPr="004D2F29" w:rsidRDefault="00057F5C">
      <w:pPr>
        <w:spacing w:after="40" w:line="252" w:lineRule="auto"/>
        <w:jc w:val="right"/>
        <w:rPr>
          <w:szCs w:val="21"/>
        </w:rPr>
      </w:pPr>
      <w:r w:rsidRPr="004D2F29">
        <w:rPr>
          <w:color w:val="1A1A1A"/>
          <w:szCs w:val="21"/>
        </w:rPr>
        <w:t>Clara Salles Biavaschi</w:t>
      </w:r>
      <w:r w:rsidRPr="004D2F29">
        <w:rPr>
          <w:color w:val="1A1A1A"/>
          <w:szCs w:val="21"/>
          <w:vertAlign w:val="superscript"/>
        </w:rPr>
        <w:t>1</w:t>
      </w:r>
      <w:r w:rsidRPr="004D2F29">
        <w:rPr>
          <w:szCs w:val="21"/>
        </w:rPr>
        <w:br/>
      </w:r>
      <w:r w:rsidRPr="004D2F29">
        <w:rPr>
          <w:color w:val="1A1A1A"/>
          <w:szCs w:val="21"/>
        </w:rPr>
        <w:t>Eduardo Thomé</w:t>
      </w:r>
      <w:r w:rsidRPr="004D2F29">
        <w:rPr>
          <w:color w:val="1A1A1A"/>
          <w:szCs w:val="21"/>
          <w:vertAlign w:val="superscript"/>
        </w:rPr>
        <w:t>1</w:t>
      </w:r>
      <w:r w:rsidRPr="004D2F29">
        <w:rPr>
          <w:szCs w:val="21"/>
        </w:rPr>
        <w:br/>
      </w:r>
      <w:r w:rsidRPr="004D2F29">
        <w:rPr>
          <w:color w:val="1A1A1A"/>
          <w:szCs w:val="21"/>
        </w:rPr>
        <w:t>Valentina Brehm Letti</w:t>
      </w:r>
      <w:r w:rsidRPr="004D2F29">
        <w:rPr>
          <w:color w:val="1A1A1A"/>
          <w:szCs w:val="21"/>
          <w:vertAlign w:val="superscript"/>
        </w:rPr>
        <w:t>1</w:t>
      </w:r>
      <w:r w:rsidRPr="004D2F29">
        <w:rPr>
          <w:szCs w:val="21"/>
        </w:rPr>
        <w:br/>
      </w:r>
      <w:r w:rsidRPr="004D2F29">
        <w:rPr>
          <w:color w:val="1A1A1A"/>
          <w:szCs w:val="21"/>
        </w:rPr>
        <w:t>Alice Alberton Lenzi</w:t>
      </w:r>
      <w:r w:rsidRPr="004D2F29">
        <w:rPr>
          <w:color w:val="1A1A1A"/>
          <w:szCs w:val="21"/>
          <w:vertAlign w:val="superscript"/>
        </w:rPr>
        <w:t>2</w:t>
      </w:r>
      <w:r w:rsidRPr="004D2F29">
        <w:rPr>
          <w:szCs w:val="21"/>
        </w:rPr>
        <w:br/>
      </w:r>
      <w:r w:rsidRPr="004D2F29">
        <w:rPr>
          <w:color w:val="1A1A1A"/>
          <w:szCs w:val="21"/>
        </w:rPr>
        <w:t>Ana Luíza Magalhães Viana</w:t>
      </w:r>
      <w:r w:rsidRPr="004D2F29">
        <w:rPr>
          <w:color w:val="1A1A1A"/>
          <w:szCs w:val="21"/>
          <w:vertAlign w:val="superscript"/>
        </w:rPr>
        <w:t>2</w:t>
      </w:r>
      <w:r w:rsidRPr="004D2F29">
        <w:rPr>
          <w:szCs w:val="21"/>
        </w:rPr>
        <w:br/>
      </w:r>
      <w:r w:rsidRPr="004D2F29">
        <w:rPr>
          <w:color w:val="1A1A1A"/>
          <w:szCs w:val="21"/>
        </w:rPr>
        <w:t>Carolina Rathunde Sandler</w:t>
      </w:r>
      <w:r w:rsidRPr="004D2F29">
        <w:rPr>
          <w:color w:val="1A1A1A"/>
          <w:szCs w:val="21"/>
          <w:vertAlign w:val="superscript"/>
        </w:rPr>
        <w:t>2</w:t>
      </w:r>
      <w:r w:rsidRPr="004D2F29">
        <w:rPr>
          <w:szCs w:val="21"/>
        </w:rPr>
        <w:br/>
      </w:r>
      <w:r w:rsidRPr="004D2F29">
        <w:rPr>
          <w:color w:val="1A1A1A"/>
          <w:szCs w:val="21"/>
        </w:rPr>
        <w:t>Vitória Degrandi Toso</w:t>
      </w:r>
      <w:r w:rsidRPr="004D2F29">
        <w:rPr>
          <w:color w:val="1A1A1A"/>
          <w:szCs w:val="21"/>
          <w:vertAlign w:val="superscript"/>
        </w:rPr>
        <w:t>2</w:t>
      </w:r>
      <w:r w:rsidRPr="004D2F29">
        <w:rPr>
          <w:szCs w:val="21"/>
        </w:rPr>
        <w:br/>
      </w:r>
      <w:r w:rsidRPr="004D2F29">
        <w:rPr>
          <w:color w:val="1A1A1A"/>
          <w:szCs w:val="21"/>
        </w:rPr>
        <w:t>Guilherme Mendes Vaz</w:t>
      </w:r>
      <w:r w:rsidRPr="004D2F29">
        <w:rPr>
          <w:color w:val="1A1A1A"/>
          <w:szCs w:val="21"/>
          <w:vertAlign w:val="superscript"/>
        </w:rPr>
        <w:t>2</w:t>
      </w:r>
      <w:r w:rsidRPr="004D2F29">
        <w:rPr>
          <w:szCs w:val="21"/>
        </w:rPr>
        <w:br/>
      </w:r>
      <w:r w:rsidRPr="004D2F29">
        <w:rPr>
          <w:color w:val="1A1A1A"/>
          <w:szCs w:val="21"/>
        </w:rPr>
        <w:t>Marcelo Biavaschi</w:t>
      </w:r>
      <w:r w:rsidRPr="004D2F29">
        <w:rPr>
          <w:color w:val="1A1A1A"/>
          <w:szCs w:val="21"/>
          <w:vertAlign w:val="superscript"/>
        </w:rPr>
        <w:t>2</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Apresentação do Caso:</w:t>
      </w:r>
      <w:r w:rsidRPr="004D2F29">
        <w:rPr>
          <w:color w:val="1A1A1A"/>
          <w:sz w:val="22"/>
        </w:rPr>
        <w:t xml:space="preserve"> Mulher com 47 anos, com hipertensão arterial prévia, apresentou achado incidental de três nódulos na tireóide em ecografia de carótidas, cada um medindo 1,8 cm no maior diâmetro. A paciente vinha assintomática, embora apresentasse TSH suprimido (0,001 µUI/mL), e foi submetida à punção aspirativa por agulha fina (PAAF) em outro serviço, cujos achados foram compatíveis com carcinoma papilífero em todos os nódulos. Alguns dias após a PAAF, houve piora do hipertireoidismo, com dispneia aos médios esforços, taquicardia, tremor e sudorese acentuados, com discreto aumento difuso do volume da tireóide, e com TSH 0,005 µUI/mL; T4L 3,57 ng/dL; TRAb 13,18 UI/L. A cintilografia de tireoide com I131 estimou a captação de 51%, com a presença de três nódulos frios. A paciente apresentou melhora significativa com o tratamento com metimazol 20 mg ao dia, e propranolol, embora ainda apresentasse TSH 0,005 e T4L 1,66 em 40 dias de tratamento. Atualmente, aguarda tireoidectomia. </w:t>
      </w:r>
      <w:r w:rsidRPr="004D2F29">
        <w:rPr>
          <w:b/>
          <w:color w:val="1A1A1A"/>
          <w:sz w:val="22"/>
        </w:rPr>
        <w:t>Discussão:</w:t>
      </w:r>
      <w:r w:rsidRPr="004D2F29">
        <w:rPr>
          <w:color w:val="1A1A1A"/>
          <w:sz w:val="22"/>
        </w:rPr>
        <w:t xml:space="preserve"> A PAAF é um procedimento rotineiro, para avaliar nódulos tireoidianos que, embora segura, pode desencadear complicações locais como dor, hematomas, infecção. Entretanto, complicações mais graves podem acontecer. Nesse sentido, nós descrevemos o agravamento do hipertireoidismo após a PAAF de tireóide em paciente que já apresentava aumento de função da glândula. O dano folicular mecânico induzido pela PAAF pode desencadear uma exacerbação da tireotoxicose em decorrência da liberação maciça de hormônios pré-formados na circulação, podendo desencadear até a crise tireotóxica. Além disso, o rompimento de células também pode causar a liberação de antígenos de superfície que incrementam a resposta imunológica em um indivíduo previamente predisposto, como é o caso dessa paciente que apresenta. Doença de Graves. </w:t>
      </w:r>
      <w:r w:rsidRPr="004D2F29">
        <w:rPr>
          <w:b/>
          <w:color w:val="1A1A1A"/>
          <w:sz w:val="22"/>
        </w:rPr>
        <w:t xml:space="preserve">Considerações finais: </w:t>
      </w:r>
      <w:r w:rsidRPr="004D2F29">
        <w:rPr>
          <w:color w:val="1A1A1A"/>
          <w:sz w:val="22"/>
        </w:rPr>
        <w:t>O objetivo desse relato é alertar ao profissional de saúde que solicita a punção de tireóide, para o risco de desencadear a piora clínica do paciente se ele estiver com hipertireoidismo mal controlado na ocasião da punção. Sugere-se a normalização de TSH e T4L antes dessa intervenção.</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de Caxias do Sul</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Universidade Federal de Santa Maria</w:t>
      </w:r>
    </w:p>
    <w:p w:rsidR="000B5910" w:rsidRDefault="000B5910">
      <w:pPr>
        <w:sectPr w:rsidR="000B5910">
          <w:headerReference w:type="default" r:id="rId251"/>
          <w:footerReference w:type="default" r:id="rId25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OFTALMOPATIA GRAVE NA DOENÇA DE GRAVES ASSOCIADA A HIPERTIREOIDISMO REFRATÁRIO E INTOLERÂNCIA AO TRATAMENTO MEDICAMENTOSO: RELATO DE CASO</w:t>
      </w:r>
    </w:p>
    <w:p w:rsidR="000B5910" w:rsidRPr="004D2F29" w:rsidRDefault="00057F5C">
      <w:pPr>
        <w:spacing w:after="40" w:line="252" w:lineRule="auto"/>
        <w:jc w:val="right"/>
        <w:rPr>
          <w:szCs w:val="21"/>
        </w:rPr>
      </w:pPr>
      <w:r w:rsidRPr="004D2F29">
        <w:rPr>
          <w:color w:val="1A1A1A"/>
          <w:szCs w:val="21"/>
        </w:rPr>
        <w:t>Laura Garcia Stella</w:t>
      </w:r>
      <w:r w:rsidRPr="004D2F29">
        <w:rPr>
          <w:color w:val="1A1A1A"/>
          <w:szCs w:val="21"/>
          <w:vertAlign w:val="superscript"/>
        </w:rPr>
        <w:t>1</w:t>
      </w:r>
      <w:r w:rsidRPr="004D2F29">
        <w:rPr>
          <w:szCs w:val="21"/>
        </w:rPr>
        <w:br/>
      </w:r>
      <w:r w:rsidRPr="004D2F29">
        <w:rPr>
          <w:color w:val="1A1A1A"/>
          <w:szCs w:val="21"/>
        </w:rPr>
        <w:t>Júlia Rheinheimer Lira</w:t>
      </w:r>
      <w:r w:rsidRPr="004D2F29">
        <w:rPr>
          <w:color w:val="1A1A1A"/>
          <w:szCs w:val="21"/>
          <w:vertAlign w:val="superscript"/>
        </w:rPr>
        <w:t>1</w:t>
      </w:r>
      <w:r w:rsidRPr="004D2F29">
        <w:rPr>
          <w:szCs w:val="21"/>
        </w:rPr>
        <w:br/>
      </w:r>
      <w:r w:rsidRPr="004D2F29">
        <w:rPr>
          <w:color w:val="1A1A1A"/>
          <w:szCs w:val="21"/>
        </w:rPr>
        <w:t>Katherine Janelli da Cunha Correa</w:t>
      </w:r>
      <w:r w:rsidRPr="004D2F29">
        <w:rPr>
          <w:color w:val="1A1A1A"/>
          <w:szCs w:val="21"/>
          <w:vertAlign w:val="superscript"/>
        </w:rPr>
        <w:t>1</w:t>
      </w:r>
      <w:r w:rsidRPr="004D2F29">
        <w:rPr>
          <w:szCs w:val="21"/>
        </w:rPr>
        <w:br/>
      </w:r>
      <w:r w:rsidRPr="004D2F29">
        <w:rPr>
          <w:color w:val="1A1A1A"/>
          <w:szCs w:val="21"/>
        </w:rPr>
        <w:t>Laura Ferreira Conte</w:t>
      </w:r>
      <w:r w:rsidRPr="004D2F29">
        <w:rPr>
          <w:color w:val="1A1A1A"/>
          <w:szCs w:val="21"/>
          <w:vertAlign w:val="superscript"/>
        </w:rPr>
        <w:t>1</w:t>
      </w:r>
      <w:r w:rsidRPr="004D2F29">
        <w:rPr>
          <w:szCs w:val="21"/>
        </w:rPr>
        <w:br/>
      </w:r>
      <w:r w:rsidRPr="004D2F29">
        <w:rPr>
          <w:color w:val="1A1A1A"/>
          <w:szCs w:val="21"/>
        </w:rPr>
        <w:t>Letícia Aparecida Fonseca Branco</w:t>
      </w:r>
      <w:r w:rsidRPr="004D2F29">
        <w:rPr>
          <w:color w:val="1A1A1A"/>
          <w:szCs w:val="21"/>
          <w:vertAlign w:val="superscript"/>
        </w:rPr>
        <w:t>1</w:t>
      </w:r>
      <w:r w:rsidRPr="004D2F29">
        <w:rPr>
          <w:szCs w:val="21"/>
        </w:rPr>
        <w:br/>
      </w:r>
      <w:r w:rsidRPr="004D2F29">
        <w:rPr>
          <w:color w:val="1A1A1A"/>
          <w:szCs w:val="21"/>
        </w:rPr>
        <w:t>Laura Tizatto</w:t>
      </w:r>
      <w:r w:rsidRPr="004D2F29">
        <w:rPr>
          <w:color w:val="1A1A1A"/>
          <w:szCs w:val="21"/>
          <w:vertAlign w:val="superscript"/>
        </w:rPr>
        <w:t>1</w:t>
      </w:r>
      <w:r w:rsidRPr="004D2F29">
        <w:rPr>
          <w:szCs w:val="21"/>
        </w:rPr>
        <w:br/>
      </w:r>
      <w:r w:rsidRPr="004D2F29">
        <w:rPr>
          <w:color w:val="1A1A1A"/>
          <w:szCs w:val="21"/>
        </w:rPr>
        <w:t>Fernanda Limeira Fanton</w:t>
      </w:r>
      <w:r w:rsidRPr="004D2F29">
        <w:rPr>
          <w:color w:val="1A1A1A"/>
          <w:szCs w:val="21"/>
          <w:vertAlign w:val="superscript"/>
        </w:rPr>
        <w:t>1</w:t>
      </w:r>
      <w:r w:rsidRPr="004D2F29">
        <w:rPr>
          <w:szCs w:val="21"/>
        </w:rPr>
        <w:br/>
      </w:r>
      <w:r w:rsidRPr="004D2F29">
        <w:rPr>
          <w:color w:val="1A1A1A"/>
          <w:szCs w:val="21"/>
        </w:rPr>
        <w:t>Bruno Schmidt Della Mea</w:t>
      </w:r>
      <w:r w:rsidRPr="004D2F29">
        <w:rPr>
          <w:color w:val="1A1A1A"/>
          <w:szCs w:val="21"/>
          <w:vertAlign w:val="superscript"/>
        </w:rPr>
        <w:t>1</w:t>
      </w:r>
      <w:r w:rsidRPr="004D2F29">
        <w:rPr>
          <w:szCs w:val="21"/>
        </w:rPr>
        <w:br/>
      </w:r>
      <w:r w:rsidRPr="004D2F29">
        <w:rPr>
          <w:color w:val="1A1A1A"/>
          <w:szCs w:val="21"/>
        </w:rPr>
        <w:t>Daniel Panarotto</w:t>
      </w:r>
      <w:r w:rsidRPr="004D2F29">
        <w:rPr>
          <w:color w:val="1A1A1A"/>
          <w:szCs w:val="21"/>
          <w:vertAlign w:val="superscript"/>
        </w:rPr>
        <w:t>1</w:t>
      </w:r>
      <w:r w:rsidRPr="004D2F29">
        <w:rPr>
          <w:szCs w:val="21"/>
        </w:rPr>
        <w:br/>
      </w:r>
      <w:r w:rsidRPr="004D2F29">
        <w:rPr>
          <w:color w:val="1A1A1A"/>
          <w:szCs w:val="21"/>
        </w:rPr>
        <w:t>Fernanda Victorazzi Lain</w:t>
      </w:r>
      <w:r w:rsidRPr="004D2F29">
        <w:rPr>
          <w:color w:val="1A1A1A"/>
          <w:szCs w:val="21"/>
          <w:vertAlign w:val="superscript"/>
        </w:rPr>
        <w:t>1</w:t>
      </w:r>
      <w:r w:rsidRPr="004D2F29">
        <w:rPr>
          <w:szCs w:val="21"/>
        </w:rPr>
        <w:br/>
      </w:r>
      <w:r w:rsidRPr="004D2F29">
        <w:rPr>
          <w:color w:val="1A1A1A"/>
          <w:szCs w:val="21"/>
        </w:rPr>
        <w:t>Natalia Guedes Conte</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rsidP="004D2F29">
      <w:pPr>
        <w:spacing w:after="80" w:line="240" w:lineRule="auto"/>
        <w:jc w:val="both"/>
        <w:rPr>
          <w:sz w:val="22"/>
        </w:rPr>
      </w:pPr>
      <w:r w:rsidRPr="004D2F29">
        <w:rPr>
          <w:b/>
          <w:color w:val="1A1A1A"/>
          <w:sz w:val="22"/>
        </w:rPr>
        <w:t xml:space="preserve">Apresentação do Caso: </w:t>
      </w:r>
      <w:r w:rsidRPr="004D2F29">
        <w:rPr>
          <w:color w:val="1A1A1A"/>
          <w:sz w:val="22"/>
        </w:rPr>
        <w:t xml:space="preserve">Paciente feminina, 43 anos, ex-tabagista, com hipertireoidismo autoimune e oftalmopatia grave. Ao diagnóstico apresentava títulos elevados de anticorpos contra o receptor do hormônio tireoestimulante (TRAb), associados </w:t>
      </w:r>
      <w:proofErr w:type="gramStart"/>
      <w:r w:rsidRPr="004D2F29">
        <w:rPr>
          <w:color w:val="1A1A1A"/>
          <w:sz w:val="22"/>
        </w:rPr>
        <w:t>a</w:t>
      </w:r>
      <w:proofErr w:type="gramEnd"/>
      <w:r w:rsidRPr="004D2F29">
        <w:rPr>
          <w:color w:val="1A1A1A"/>
          <w:sz w:val="22"/>
        </w:rPr>
        <w:t xml:space="preserve"> exoftalmia acentuada, edema periorbitário e sintomas visuais como diplopia, lagoftalmo, epífora persistente e borramento visual. Tomografia de órbitas evidenciou proptose importante (29 mm à esquerda e 31 mm à direita). Ecografia e cintilografia cervical revelaram bócio multinodular com hipercaptação difusa da glândula tireóide. Evoluiu com difícil controle clínico em uso de metimazol 60 mg, apresentando crise tireotóxica e necessidade de internação prolongada. Em seguimento ambulatorial manteve hipertireoidismo não controlado (TSH &lt;0,005 μUI/mL; T4 livre 4,16 ng/dL) e atividade orbitária inflamatória importante, com dor à movimentação ocular, quemose, hiperemia conjuntival, edema palpebral e dor retro-orbitária (Clinical Activity Score – CAS 5). Apesar de escalada terapêutica até dose plena de metimazol, permaneceu descompensada e desenvolveu reação adversa cutânea com rash e prurido. Diante do hipertireoidismo refratário e oftalmopatia grave, foi indicada tireoidectomia total. O anatomopatológico revelou tireoide de 205 g com bócio colóide multinodular, sem malignidade. No seguimento pós-operatório, observou-se melhora dos sintomas visuais, com regressão parcial da proptose e do edema periorbitário</w:t>
      </w:r>
      <w:r w:rsidRPr="004D2F29">
        <w:rPr>
          <w:b/>
          <w:color w:val="1A1A1A"/>
          <w:sz w:val="22"/>
        </w:rPr>
        <w:t xml:space="preserve">. Discussão: </w:t>
      </w:r>
      <w:r w:rsidRPr="004D2F29">
        <w:rPr>
          <w:color w:val="1A1A1A"/>
          <w:sz w:val="22"/>
        </w:rPr>
        <w:t xml:space="preserve">A oftalmopatia associada à autoimunidade tireoidiana resulta de inflamação imunomediada com ativação de fibroblastos orbitários por autoanticorpos, promovendo hipertrofia dos músculos extraoculares, levando a proptose. Neste caso, o comprometimento orbitário apresentou evolução grave e predominante. Observou-se também hipertireoidismo refratário ao tratamento medicamentoso, com intolerância ao metimazol. Diante da atividade inflamatória orbitária importante e da contraindicação ao radioiodo na presença de oftalmopatia ativa grave, optou-se por tireoidectomia total como estratégia definitiva para controle da tireotoxicose. </w:t>
      </w:r>
      <w:r w:rsidRPr="004D2F29">
        <w:rPr>
          <w:b/>
          <w:color w:val="1A1A1A"/>
          <w:sz w:val="22"/>
        </w:rPr>
        <w:t>Considerações finais</w:t>
      </w:r>
      <w:r w:rsidRPr="004D2F29">
        <w:rPr>
          <w:color w:val="1A1A1A"/>
          <w:sz w:val="22"/>
        </w:rPr>
        <w:t xml:space="preserve">: O caso ilustra </w:t>
      </w:r>
      <w:proofErr w:type="gramStart"/>
      <w:r w:rsidRPr="004D2F29">
        <w:rPr>
          <w:color w:val="1A1A1A"/>
          <w:sz w:val="22"/>
        </w:rPr>
        <w:t>a forma</w:t>
      </w:r>
      <w:proofErr w:type="gramEnd"/>
      <w:r w:rsidRPr="004D2F29">
        <w:rPr>
          <w:color w:val="1A1A1A"/>
          <w:sz w:val="22"/>
        </w:rPr>
        <w:t xml:space="preserve"> grave e progressiva da oftalmopatia associada à Doença de Graves, na qual o comprometimento orbitário pode levar a grandes complicações visuais, inclusive perda irreversível da visão. O reconhecimento precoce e a definição oportuna da estratégia terapêutica são fundamentais para reduzir o risco de sequelas permanentes.</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de Caxias do Sul</w:t>
      </w:r>
    </w:p>
    <w:p w:rsidR="000B5910" w:rsidRDefault="000B5910">
      <w:pPr>
        <w:sectPr w:rsidR="000B5910">
          <w:headerReference w:type="default" r:id="rId253"/>
          <w:footerReference w:type="default" r:id="rId25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ANÁLISE EPIDEMIOLÓGICA DAS INTERNAÇÕES POR TIREOTOXICOSE NO BRASIL NO PERÍODO DE 2010 A 2024</w:t>
      </w:r>
    </w:p>
    <w:p w:rsidR="000B5910" w:rsidRPr="004D2F29" w:rsidRDefault="00057F5C">
      <w:pPr>
        <w:spacing w:after="40" w:line="252" w:lineRule="auto"/>
        <w:jc w:val="right"/>
        <w:rPr>
          <w:szCs w:val="21"/>
        </w:rPr>
      </w:pPr>
      <w:r w:rsidRPr="004D2F29">
        <w:rPr>
          <w:color w:val="1A1A1A"/>
          <w:szCs w:val="21"/>
        </w:rPr>
        <w:t>Ana Clara Ezequiel Soares Ferreira</w:t>
      </w:r>
      <w:r w:rsidRPr="004D2F29">
        <w:rPr>
          <w:color w:val="1A1A1A"/>
          <w:szCs w:val="21"/>
          <w:vertAlign w:val="superscript"/>
        </w:rPr>
        <w:t>1</w:t>
      </w:r>
      <w:r w:rsidRPr="004D2F29">
        <w:rPr>
          <w:szCs w:val="21"/>
        </w:rPr>
        <w:br/>
      </w:r>
      <w:r w:rsidRPr="004D2F29">
        <w:rPr>
          <w:color w:val="1A1A1A"/>
          <w:szCs w:val="21"/>
        </w:rPr>
        <w:t>Felipe Saath</w:t>
      </w:r>
      <w:r w:rsidRPr="004D2F29">
        <w:rPr>
          <w:color w:val="1A1A1A"/>
          <w:szCs w:val="21"/>
          <w:vertAlign w:val="superscript"/>
        </w:rPr>
        <w:t>1</w:t>
      </w:r>
      <w:r w:rsidRPr="004D2F29">
        <w:rPr>
          <w:szCs w:val="21"/>
        </w:rPr>
        <w:br/>
      </w:r>
      <w:r w:rsidRPr="004D2F29">
        <w:rPr>
          <w:color w:val="1A1A1A"/>
          <w:szCs w:val="21"/>
        </w:rPr>
        <w:t>Kelen Lise Biazi</w:t>
      </w:r>
      <w:r w:rsidRPr="004D2F29">
        <w:rPr>
          <w:color w:val="1A1A1A"/>
          <w:szCs w:val="21"/>
          <w:vertAlign w:val="superscript"/>
        </w:rPr>
        <w:t>1</w:t>
      </w:r>
      <w:r w:rsidRPr="004D2F29">
        <w:rPr>
          <w:szCs w:val="21"/>
        </w:rPr>
        <w:br/>
      </w:r>
      <w:r w:rsidRPr="004D2F29">
        <w:rPr>
          <w:color w:val="1A1A1A"/>
          <w:szCs w:val="21"/>
        </w:rPr>
        <w:t>Shana Ginar da Silva</w:t>
      </w:r>
      <w:r w:rsidRPr="004D2F29">
        <w:rPr>
          <w:color w:val="1A1A1A"/>
          <w:szCs w:val="21"/>
          <w:vertAlign w:val="superscript"/>
        </w:rPr>
        <w:t>1</w:t>
      </w:r>
    </w:p>
    <w:p w:rsidR="000B5910" w:rsidRDefault="00057F5C">
      <w:pPr>
        <w:spacing w:before="240" w:after="100"/>
      </w:pPr>
      <w:r>
        <w:rPr>
          <w:b/>
          <w:color w:val="1A1A1A"/>
          <w:sz w:val="22"/>
        </w:rPr>
        <w:t>RESUMO</w:t>
      </w:r>
    </w:p>
    <w:p w:rsidR="000B5910" w:rsidRPr="004D2F29" w:rsidRDefault="00057F5C">
      <w:pPr>
        <w:spacing w:after="80"/>
        <w:jc w:val="both"/>
        <w:rPr>
          <w:sz w:val="22"/>
        </w:rPr>
      </w:pPr>
      <w:r w:rsidRPr="004D2F29">
        <w:rPr>
          <w:b/>
          <w:color w:val="1A1A1A"/>
          <w:sz w:val="22"/>
        </w:rPr>
        <w:t>Introdução</w:t>
      </w:r>
      <w:r w:rsidRPr="004D2F29">
        <w:rPr>
          <w:color w:val="1A1A1A"/>
          <w:sz w:val="22"/>
        </w:rPr>
        <w:t xml:space="preserve">: A tireotoxicose é uma síndrome clínica causada pela exposição excessiva aos hormônios tireoidianos, com manifestações em múltiplos sistemas do organismo. As principais etiologias incluem Doença de Graves, bócio multinodular tóxico e adenoma tóxico. Embora represente um desafio clínico relevante, especialmente nos casos que requerem hospitalização, são escassos os estudos nacionais de longa duração sobre seu comportamento epidemiológico. Compreender a evolução das internações por essa condição entre 2010 e 2024 permite identificar padrões regionais e subsidiar políticas públicas em saúde. </w:t>
      </w:r>
      <w:r w:rsidRPr="004D2F29">
        <w:rPr>
          <w:b/>
          <w:color w:val="1A1A1A"/>
          <w:sz w:val="22"/>
        </w:rPr>
        <w:t>Objetivo:</w:t>
      </w:r>
      <w:r w:rsidRPr="004D2F29">
        <w:rPr>
          <w:color w:val="1A1A1A"/>
          <w:sz w:val="22"/>
        </w:rPr>
        <w:t xml:space="preserve"> Analisar o perfil epidemiológico e a tendência temporal das internações hospitalares por tireotoxicose no Brasil no período de 2010 a 2024. </w:t>
      </w:r>
      <w:r w:rsidRPr="004D2F29">
        <w:rPr>
          <w:b/>
          <w:color w:val="1A1A1A"/>
          <w:sz w:val="22"/>
        </w:rPr>
        <w:t>Métodos:</w:t>
      </w:r>
      <w:r w:rsidRPr="004D2F29">
        <w:rPr>
          <w:color w:val="1A1A1A"/>
          <w:sz w:val="22"/>
        </w:rPr>
        <w:t xml:space="preserve"> Estudo ecológico de série temporal com dados do Sistema de Informações Hospitalares do SUS (SIH/SUS), extraídos do DATASUS. Foram incluídas todas as internações com diagnóstico principal de tireotoxicose (CID-10: E05) registradas entre janeiro de 2010 e dezembro de 2024. As variáveis analisadas foram: número absoluto de internações, sexo, faixa etária, raça/cor e taxa de mortalidade. Os dados foram organizados em planilhas e analisados por estatística descritiva e análise de tendência. </w:t>
      </w:r>
      <w:r w:rsidRPr="004D2F29">
        <w:rPr>
          <w:b/>
          <w:color w:val="1A1A1A"/>
          <w:sz w:val="22"/>
        </w:rPr>
        <w:t>Resultados:</w:t>
      </w:r>
      <w:r w:rsidRPr="004D2F29">
        <w:rPr>
          <w:color w:val="1A1A1A"/>
          <w:sz w:val="22"/>
        </w:rPr>
        <w:t xml:space="preserve"> No período analisado, ocorreram 9.100 internações por tireotoxicose. A região Sudeste concentrou 59,9% dos casos, seguida pelo Nordeste (17,4%) e Sul (12,4%). Do total, 78% dos pacientes eram do sexo feminino. A maior proporção de internações ocorreu entre pessoas pardas (33,3%), seguidas por brancos (30,7%). Registros sem informação de raça/cor representaram 26,6% dos casos. A faixa etária mais afetada foi de 40 a 49 anos (22%). Em relação à mortalidade, o Nordeste apresentou a maior taxa (3,92), seguido pelo Centro-Oeste (3,56), Sul (1,60) e Sudeste (1,47). </w:t>
      </w:r>
      <w:r w:rsidRPr="004D2F29">
        <w:rPr>
          <w:b/>
          <w:color w:val="1A1A1A"/>
          <w:sz w:val="22"/>
        </w:rPr>
        <w:t>Conclusão:</w:t>
      </w:r>
      <w:r w:rsidRPr="004D2F29">
        <w:rPr>
          <w:color w:val="1A1A1A"/>
          <w:sz w:val="22"/>
        </w:rPr>
        <w:t xml:space="preserve"> A análise evidenciou desigualdades regionais e demográficas. A predominância de casos em mulheres e adultos de meia-idade confirma dados da literatura. A maior concentração de internações no Sudeste pode refletir maior acesso e capacidade diagnóstica. </w:t>
      </w:r>
      <w:proofErr w:type="gramStart"/>
      <w:r w:rsidRPr="004D2F29">
        <w:rPr>
          <w:color w:val="1A1A1A"/>
          <w:sz w:val="22"/>
        </w:rPr>
        <w:t>A</w:t>
      </w:r>
      <w:proofErr w:type="gramEnd"/>
      <w:r w:rsidRPr="004D2F29">
        <w:rPr>
          <w:color w:val="1A1A1A"/>
          <w:sz w:val="22"/>
        </w:rPr>
        <w:t xml:space="preserve"> expressiva proporção de internações entre pessoas pardas e o elevado número de registros incompletos de raça/cor indicam a necessidade de melhoria na qualidade da informação em saúde. As variações na mortalidade entre regiões sugerem diferenças na atenção hospitalar, reforçando </w:t>
      </w:r>
      <w:proofErr w:type="gramStart"/>
      <w:r w:rsidRPr="004D2F29">
        <w:rPr>
          <w:color w:val="1A1A1A"/>
          <w:sz w:val="22"/>
        </w:rPr>
        <w:t>a</w:t>
      </w:r>
      <w:proofErr w:type="gramEnd"/>
      <w:r w:rsidRPr="004D2F29">
        <w:rPr>
          <w:color w:val="1A1A1A"/>
          <w:sz w:val="22"/>
        </w:rPr>
        <w:t xml:space="preserve"> importância de estratégias regionalizadas para o manejo da tireotoxicose.</w:t>
      </w:r>
    </w:p>
    <w:p w:rsidR="000B5910" w:rsidRDefault="000B5910">
      <w:pPr>
        <w:pBdr>
          <w:bottom w:val="single" w:sz="4" w:space="2" w:color="808080"/>
        </w:pBdr>
        <w:spacing w:before="16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Federal da Fronteira Sul</w:t>
      </w:r>
    </w:p>
    <w:p w:rsidR="000B5910" w:rsidRDefault="000B5910">
      <w:pPr>
        <w:sectPr w:rsidR="000B5910">
          <w:headerReference w:type="default" r:id="rId255"/>
          <w:footerReference w:type="default" r:id="rId25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HIPERTIROXINEMIA COM TSH NORMAL EM PACIENTE EM PRÉ-OPERATÓRIO DE CIRURGIA BARIÁTRICA:</w:t>
      </w:r>
      <w:r w:rsidR="0064145B">
        <w:rPr>
          <w:b/>
          <w:color w:val="1A1A1A"/>
          <w:sz w:val="28"/>
          <w:szCs w:val="24"/>
        </w:rPr>
        <w:t xml:space="preserve"> </w:t>
      </w:r>
      <w:r>
        <w:rPr>
          <w:b/>
          <w:color w:val="1A1A1A"/>
          <w:sz w:val="28"/>
          <w:szCs w:val="24"/>
        </w:rPr>
        <w:t>ARMADILHA DIAGNÓSTICA</w:t>
      </w:r>
    </w:p>
    <w:p w:rsidR="000B5910" w:rsidRPr="004D2F29" w:rsidRDefault="00057F5C">
      <w:pPr>
        <w:spacing w:after="40" w:line="252" w:lineRule="auto"/>
        <w:jc w:val="right"/>
        <w:rPr>
          <w:szCs w:val="21"/>
        </w:rPr>
      </w:pPr>
      <w:r w:rsidRPr="004D2F29">
        <w:rPr>
          <w:color w:val="1A1A1A"/>
          <w:szCs w:val="21"/>
        </w:rPr>
        <w:t>Natalia Denicol Cousseau</w:t>
      </w:r>
      <w:r w:rsidRPr="004D2F29">
        <w:rPr>
          <w:color w:val="1A1A1A"/>
          <w:szCs w:val="21"/>
          <w:vertAlign w:val="superscript"/>
        </w:rPr>
        <w:t>1</w:t>
      </w:r>
      <w:r w:rsidRPr="004D2F29">
        <w:rPr>
          <w:szCs w:val="21"/>
        </w:rPr>
        <w:br/>
      </w:r>
      <w:r w:rsidRPr="004D2F29">
        <w:rPr>
          <w:color w:val="1A1A1A"/>
          <w:szCs w:val="21"/>
        </w:rPr>
        <w:t>Taíse Rosa de Carvalho</w:t>
      </w:r>
      <w:r w:rsidRPr="004D2F29">
        <w:rPr>
          <w:color w:val="1A1A1A"/>
          <w:szCs w:val="21"/>
          <w:vertAlign w:val="superscript"/>
        </w:rPr>
        <w:t>1</w:t>
      </w:r>
      <w:r w:rsidRPr="004D2F29">
        <w:rPr>
          <w:szCs w:val="21"/>
        </w:rPr>
        <w:br/>
      </w:r>
      <w:r w:rsidRPr="004D2F29">
        <w:rPr>
          <w:color w:val="1A1A1A"/>
          <w:szCs w:val="21"/>
        </w:rPr>
        <w:t>André Borsatto Zanella</w:t>
      </w:r>
      <w:r w:rsidRPr="004D2F29">
        <w:rPr>
          <w:color w:val="1A1A1A"/>
          <w:szCs w:val="21"/>
          <w:vertAlign w:val="superscript"/>
        </w:rPr>
        <w:t>1</w:t>
      </w:r>
      <w:r w:rsidRPr="004D2F29">
        <w:rPr>
          <w:szCs w:val="21"/>
        </w:rPr>
        <w:br/>
      </w:r>
      <w:r w:rsidRPr="004D2F29">
        <w:rPr>
          <w:color w:val="1A1A1A"/>
          <w:szCs w:val="21"/>
        </w:rPr>
        <w:t>Cláudio Corá Mottin</w:t>
      </w:r>
      <w:r w:rsidRPr="004D2F29">
        <w:rPr>
          <w:color w:val="1A1A1A"/>
          <w:szCs w:val="21"/>
          <w:vertAlign w:val="superscript"/>
        </w:rPr>
        <w:t>1</w:t>
      </w:r>
      <w:r w:rsidRPr="004D2F29">
        <w:rPr>
          <w:szCs w:val="21"/>
        </w:rPr>
        <w:br/>
      </w:r>
      <w:r w:rsidRPr="004D2F29">
        <w:rPr>
          <w:color w:val="1A1A1A"/>
          <w:szCs w:val="21"/>
        </w:rPr>
        <w:t>Sarah Mitsue de Castro Matsuoka</w:t>
      </w:r>
      <w:r w:rsidRPr="004D2F29">
        <w:rPr>
          <w:color w:val="1A1A1A"/>
          <w:szCs w:val="21"/>
          <w:vertAlign w:val="superscript"/>
        </w:rPr>
        <w:t>1</w:t>
      </w:r>
      <w:r w:rsidRPr="004D2F29">
        <w:rPr>
          <w:szCs w:val="21"/>
        </w:rPr>
        <w:br/>
      </w:r>
      <w:r w:rsidRPr="004D2F29">
        <w:rPr>
          <w:color w:val="1A1A1A"/>
          <w:szCs w:val="21"/>
        </w:rPr>
        <w:t>Thathiane Vieira Franco Ribeiro</w:t>
      </w:r>
      <w:r w:rsidRPr="004D2F29">
        <w:rPr>
          <w:color w:val="1A1A1A"/>
          <w:szCs w:val="21"/>
          <w:vertAlign w:val="superscript"/>
        </w:rPr>
        <w:t>1</w:t>
      </w:r>
      <w:r w:rsidRPr="004D2F29">
        <w:rPr>
          <w:szCs w:val="21"/>
        </w:rPr>
        <w:br/>
      </w:r>
      <w:r w:rsidRPr="004D2F29">
        <w:rPr>
          <w:color w:val="1A1A1A"/>
          <w:szCs w:val="21"/>
        </w:rPr>
        <w:t>Manuela Guimarães Dias Gomes</w:t>
      </w:r>
      <w:r w:rsidRPr="004D2F29">
        <w:rPr>
          <w:color w:val="1A1A1A"/>
          <w:szCs w:val="21"/>
          <w:vertAlign w:val="superscript"/>
        </w:rPr>
        <w:t>1</w:t>
      </w:r>
      <w:r w:rsidRPr="004D2F29">
        <w:rPr>
          <w:szCs w:val="21"/>
        </w:rPr>
        <w:br/>
      </w:r>
      <w:r w:rsidRPr="004D2F29">
        <w:rPr>
          <w:color w:val="1A1A1A"/>
          <w:szCs w:val="21"/>
        </w:rPr>
        <w:t>Fernando Zelimar Dagostim</w:t>
      </w:r>
      <w:r w:rsidRPr="004D2F29">
        <w:rPr>
          <w:color w:val="1A1A1A"/>
          <w:szCs w:val="21"/>
          <w:vertAlign w:val="superscript"/>
        </w:rPr>
        <w:t>1</w:t>
      </w:r>
      <w:r w:rsidRPr="004D2F29">
        <w:rPr>
          <w:szCs w:val="21"/>
        </w:rPr>
        <w:br/>
      </w:r>
      <w:r w:rsidRPr="004D2F29">
        <w:rPr>
          <w:color w:val="1A1A1A"/>
          <w:szCs w:val="21"/>
        </w:rPr>
        <w:t>Geórgia Savicki Schneider</w:t>
      </w:r>
      <w:r w:rsidRPr="004D2F29">
        <w:rPr>
          <w:color w:val="1A1A1A"/>
          <w:szCs w:val="21"/>
          <w:vertAlign w:val="superscript"/>
        </w:rPr>
        <w:t>1</w:t>
      </w:r>
      <w:r w:rsidRPr="004D2F29">
        <w:rPr>
          <w:szCs w:val="21"/>
        </w:rPr>
        <w:br/>
      </w:r>
      <w:r w:rsidRPr="004D2F29">
        <w:rPr>
          <w:color w:val="1A1A1A"/>
          <w:szCs w:val="21"/>
        </w:rPr>
        <w:t>Fernanda Aydos Tarrago</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 xml:space="preserve">Apresentação do Caso: </w:t>
      </w:r>
      <w:r w:rsidRPr="004D2F29">
        <w:rPr>
          <w:color w:val="1A1A1A"/>
          <w:sz w:val="22"/>
        </w:rPr>
        <w:t xml:space="preserve">Paciente feminina, 19 anos, com diagnóstico de obesidade e depressão, em uso de bupropiona, em avaliação pré-operatória para cirurgia bariátrica (IMC 39,3 kg/m²). Como rotina de pré-operatório, foram solicitadas provas de função tireoidiana que revelaram hormônio tireoestimulante (TSH) de 1,05 mU/L (VR: 0,51–3,15 mU/L) e tetraiodotironina (T4) total &gt; 24,9 µg/dL (VR: 5,1–14,1 µg/dL). A paciente negava sintomas de hipertireoidismo, como palpitações, tremores, alteração do hábito intestinal, insônia ou intolerância ao calor. Ao exame físico, apresentava ausculta cardíaca sem alterações, encontrava-se normotensa e com tireoide sem alterações. Negava uso de outras medicações, incluindo biotina, contraceptivos hormonais e levotiroxina. Os exames foram repetidos, evidenciando: TSH 0,64 mU/L; T4 total &gt; 24,9 µg/dL; T4 livre 1,26 ng/dL (VR: 0,9–1,6 ng/dL); T3 total &gt; 651 ng/dL (VR: 80-200ng/dL); índice de tiroxina livre de 26,2% (VR: 22,5%–37%).Diante da discrepância entre hormônios periféricos elevados e TSH normal, foi dosada a globulina ligadora de tiroxina (TBG), que se mostrou aumentada (43,1 µg/mL (VR: 13–39 µg/mL)). Com o diagnóstico de hipertebegenemia, a paciente foi liberada para a cirurgia bariátrica sem medidas adicionais, realizando o procedimento sem intercorrências. </w:t>
      </w:r>
      <w:r w:rsidRPr="004D2F29">
        <w:rPr>
          <w:b/>
          <w:color w:val="1A1A1A"/>
          <w:sz w:val="22"/>
        </w:rPr>
        <w:t xml:space="preserve">Discussão: </w:t>
      </w:r>
      <w:r w:rsidRPr="004D2F29">
        <w:rPr>
          <w:color w:val="1A1A1A"/>
          <w:sz w:val="22"/>
        </w:rPr>
        <w:t xml:space="preserve">O perfil laboratorial sugere hipertiroxinemia secundária ao aumento de TBG. </w:t>
      </w:r>
      <w:proofErr w:type="gramStart"/>
      <w:r w:rsidRPr="004D2F29">
        <w:rPr>
          <w:color w:val="1A1A1A"/>
          <w:sz w:val="22"/>
        </w:rPr>
        <w:t>A</w:t>
      </w:r>
      <w:proofErr w:type="gramEnd"/>
      <w:r w:rsidRPr="004D2F29">
        <w:rPr>
          <w:color w:val="1A1A1A"/>
          <w:sz w:val="22"/>
        </w:rPr>
        <w:t xml:space="preserve"> elevação dessa proteína transportadora pode aumentar as concentrações séricas de T4 e T3 totais sem refletir aumento da fração livre biologicamente ativa, que permanece regulada pelo eixo hipotálamo-hipófise-tireoide. Assim, </w:t>
      </w:r>
      <w:proofErr w:type="gramStart"/>
      <w:r w:rsidRPr="004D2F29">
        <w:rPr>
          <w:color w:val="1A1A1A"/>
          <w:sz w:val="22"/>
        </w:rPr>
        <w:t>a</w:t>
      </w:r>
      <w:proofErr w:type="gramEnd"/>
      <w:r w:rsidRPr="004D2F29">
        <w:rPr>
          <w:color w:val="1A1A1A"/>
          <w:sz w:val="22"/>
        </w:rPr>
        <w:t xml:space="preserve"> elevação isolada de hormônios totais pode ser interpretada equivocadamente como hipertireoidismo quando não se avaliam o TSH e as frações livres. Entre as causas de aumento de TBG, destacam-se formas hereditárias ligadas ao X, gestação, hepatites e uso de medicamentos como estrogênios, tamoxifeno e metadona. </w:t>
      </w:r>
      <w:r w:rsidRPr="004D2F29">
        <w:rPr>
          <w:b/>
          <w:color w:val="1A1A1A"/>
          <w:sz w:val="22"/>
        </w:rPr>
        <w:t xml:space="preserve">Considerações finais: </w:t>
      </w:r>
      <w:r w:rsidRPr="004D2F29">
        <w:rPr>
          <w:color w:val="1A1A1A"/>
          <w:sz w:val="22"/>
        </w:rPr>
        <w:t xml:space="preserve">Este caso destaca </w:t>
      </w:r>
      <w:proofErr w:type="gramStart"/>
      <w:r w:rsidRPr="004D2F29">
        <w:rPr>
          <w:color w:val="1A1A1A"/>
          <w:sz w:val="22"/>
        </w:rPr>
        <w:t>a</w:t>
      </w:r>
      <w:proofErr w:type="gramEnd"/>
      <w:r w:rsidRPr="004D2F29">
        <w:rPr>
          <w:color w:val="1A1A1A"/>
          <w:sz w:val="22"/>
        </w:rPr>
        <w:t xml:space="preserve"> importância de interpretar os exames laboratoriais no contexto clínico e de considerar alterações nas proteínas transportadoras como causa de elevação de hormônios tireoidianos totais. O reconhecimento dessa armadilha diagnóstica é fundamental para evitar diagnósticos incorretos e intervenções desnecessárias.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Hospital São Lucas da PUCRS</w:t>
      </w:r>
    </w:p>
    <w:p w:rsidR="000B5910" w:rsidRDefault="000B5910">
      <w:pPr>
        <w:sectPr w:rsidR="000B5910">
          <w:headerReference w:type="default" r:id="rId257"/>
          <w:footerReference w:type="default" r:id="rId258"/>
          <w:pgSz w:w="12240" w:h="15840"/>
          <w:pgMar w:top="1417" w:right="1417" w:bottom="1417" w:left="1417" w:header="680" w:footer="680" w:gutter="0"/>
          <w:cols w:space="720"/>
        </w:sectPr>
      </w:pPr>
    </w:p>
    <w:p w:rsidR="000B5910" w:rsidRDefault="00057F5C">
      <w:pPr>
        <w:spacing w:before="80" w:line="252" w:lineRule="auto"/>
        <w:jc w:val="center"/>
        <w:rPr>
          <w:spacing w:val="11"/>
          <w:sz w:val="22"/>
          <w:szCs w:val="24"/>
        </w:rPr>
      </w:pPr>
      <w:r>
        <w:rPr>
          <w:b/>
          <w:color w:val="1A1A1A"/>
          <w:spacing w:val="11"/>
          <w:sz w:val="28"/>
          <w:szCs w:val="24"/>
        </w:rPr>
        <w:lastRenderedPageBreak/>
        <w:t>DIRETRIZES 2025 DA ATA MUDAM A CONDUTA? O IMPACTO DO NOVO ALVO DE TSH EM UM AMBULATÓRIO ESPECIALIZADO EM TIREOIDE</w:t>
      </w:r>
    </w:p>
    <w:p w:rsidR="000B5910" w:rsidRPr="004D2F29" w:rsidRDefault="00057F5C">
      <w:pPr>
        <w:spacing w:after="40" w:line="252" w:lineRule="auto"/>
        <w:jc w:val="right"/>
        <w:rPr>
          <w:szCs w:val="21"/>
        </w:rPr>
      </w:pPr>
      <w:r w:rsidRPr="004D2F29">
        <w:rPr>
          <w:color w:val="1A1A1A"/>
          <w:szCs w:val="21"/>
        </w:rPr>
        <w:t>Sarah Mitsue de Castro Matsuoka</w:t>
      </w:r>
      <w:r w:rsidRPr="004D2F29">
        <w:rPr>
          <w:color w:val="1A1A1A"/>
          <w:szCs w:val="21"/>
          <w:vertAlign w:val="superscript"/>
        </w:rPr>
        <w:t>1</w:t>
      </w:r>
      <w:r w:rsidRPr="004D2F29">
        <w:rPr>
          <w:szCs w:val="21"/>
        </w:rPr>
        <w:br/>
      </w:r>
      <w:r w:rsidRPr="004D2F29">
        <w:rPr>
          <w:color w:val="1A1A1A"/>
          <w:szCs w:val="21"/>
        </w:rPr>
        <w:t>André Borsatto Zanella</w:t>
      </w:r>
      <w:r w:rsidRPr="004D2F29">
        <w:rPr>
          <w:color w:val="1A1A1A"/>
          <w:szCs w:val="21"/>
          <w:vertAlign w:val="superscript"/>
        </w:rPr>
        <w:t>1</w:t>
      </w:r>
      <w:r w:rsidRPr="004D2F29">
        <w:rPr>
          <w:szCs w:val="21"/>
        </w:rPr>
        <w:br/>
      </w:r>
      <w:r w:rsidRPr="004D2F29">
        <w:rPr>
          <w:color w:val="1A1A1A"/>
          <w:szCs w:val="21"/>
        </w:rPr>
        <w:t>Marcelle Arndt Maia</w:t>
      </w:r>
      <w:r w:rsidRPr="004D2F29">
        <w:rPr>
          <w:color w:val="1A1A1A"/>
          <w:szCs w:val="21"/>
          <w:vertAlign w:val="superscript"/>
        </w:rPr>
        <w:t>1</w:t>
      </w:r>
      <w:r w:rsidRPr="004D2F29">
        <w:rPr>
          <w:szCs w:val="21"/>
        </w:rPr>
        <w:br/>
      </w:r>
      <w:r w:rsidRPr="004D2F29">
        <w:rPr>
          <w:color w:val="1A1A1A"/>
          <w:szCs w:val="21"/>
        </w:rPr>
        <w:t>Carlos Gedeao da Silva Cevenini</w:t>
      </w:r>
      <w:r w:rsidRPr="004D2F29">
        <w:rPr>
          <w:color w:val="1A1A1A"/>
          <w:szCs w:val="21"/>
          <w:vertAlign w:val="superscript"/>
        </w:rPr>
        <w:t>1</w:t>
      </w:r>
      <w:r w:rsidRPr="004D2F29">
        <w:rPr>
          <w:szCs w:val="21"/>
        </w:rPr>
        <w:br/>
      </w:r>
      <w:r w:rsidRPr="004D2F29">
        <w:rPr>
          <w:color w:val="1A1A1A"/>
          <w:szCs w:val="21"/>
        </w:rPr>
        <w:t>Natália Denicol Cousseau</w:t>
      </w:r>
      <w:r w:rsidRPr="004D2F29">
        <w:rPr>
          <w:color w:val="1A1A1A"/>
          <w:szCs w:val="21"/>
          <w:vertAlign w:val="superscript"/>
        </w:rPr>
        <w:t>1</w:t>
      </w:r>
      <w:r w:rsidRPr="004D2F29">
        <w:rPr>
          <w:szCs w:val="21"/>
        </w:rPr>
        <w:br/>
      </w:r>
      <w:r w:rsidRPr="004D2F29">
        <w:rPr>
          <w:color w:val="1A1A1A"/>
          <w:szCs w:val="21"/>
        </w:rPr>
        <w:t>Thathiane Vieira Franco Ribeiro</w:t>
      </w:r>
      <w:r w:rsidRPr="004D2F29">
        <w:rPr>
          <w:color w:val="1A1A1A"/>
          <w:szCs w:val="21"/>
          <w:vertAlign w:val="superscript"/>
        </w:rPr>
        <w:t>1</w:t>
      </w:r>
      <w:r w:rsidRPr="004D2F29">
        <w:rPr>
          <w:szCs w:val="21"/>
        </w:rPr>
        <w:br/>
      </w:r>
      <w:r w:rsidRPr="004D2F29">
        <w:rPr>
          <w:color w:val="1A1A1A"/>
          <w:szCs w:val="21"/>
        </w:rPr>
        <w:t>Fernando Zelimar Dagostim</w:t>
      </w:r>
      <w:r w:rsidRPr="004D2F29">
        <w:rPr>
          <w:color w:val="1A1A1A"/>
          <w:szCs w:val="21"/>
          <w:vertAlign w:val="superscript"/>
        </w:rPr>
        <w:t>1</w:t>
      </w:r>
      <w:r w:rsidRPr="004D2F29">
        <w:rPr>
          <w:szCs w:val="21"/>
        </w:rPr>
        <w:br/>
      </w:r>
      <w:r w:rsidRPr="004D2F29">
        <w:rPr>
          <w:color w:val="1A1A1A"/>
          <w:szCs w:val="21"/>
        </w:rPr>
        <w:t>Manuela Guimarães Dias Gomes</w:t>
      </w:r>
      <w:r w:rsidRPr="004D2F29">
        <w:rPr>
          <w:color w:val="1A1A1A"/>
          <w:szCs w:val="21"/>
          <w:vertAlign w:val="superscript"/>
        </w:rPr>
        <w:t>1</w:t>
      </w:r>
      <w:r w:rsidRPr="004D2F29">
        <w:rPr>
          <w:szCs w:val="21"/>
        </w:rPr>
        <w:br/>
      </w:r>
      <w:r w:rsidRPr="004D2F29">
        <w:rPr>
          <w:color w:val="1A1A1A"/>
          <w:szCs w:val="21"/>
        </w:rPr>
        <w:t>Murilo Gonçalves Braga</w:t>
      </w:r>
      <w:r w:rsidRPr="004D2F29">
        <w:rPr>
          <w:color w:val="1A1A1A"/>
          <w:szCs w:val="21"/>
          <w:vertAlign w:val="superscript"/>
        </w:rPr>
        <w:t>1</w:t>
      </w:r>
      <w:r w:rsidRPr="004D2F29">
        <w:rPr>
          <w:szCs w:val="21"/>
        </w:rPr>
        <w:br/>
      </w:r>
      <w:r w:rsidRPr="004D2F29">
        <w:rPr>
          <w:color w:val="1A1A1A"/>
          <w:szCs w:val="21"/>
        </w:rPr>
        <w:t>Geórgia Savicki Schneider</w:t>
      </w:r>
      <w:r w:rsidRPr="004D2F29">
        <w:rPr>
          <w:color w:val="1A1A1A"/>
          <w:szCs w:val="21"/>
          <w:vertAlign w:val="superscript"/>
        </w:rPr>
        <w:t>1</w:t>
      </w:r>
      <w:r w:rsidRPr="004D2F29">
        <w:rPr>
          <w:szCs w:val="21"/>
        </w:rPr>
        <w:br/>
      </w:r>
      <w:r w:rsidRPr="004D2F29">
        <w:rPr>
          <w:color w:val="1A1A1A"/>
          <w:szCs w:val="21"/>
        </w:rPr>
        <w:t>Fernanda Aydos Tarrago</w:t>
      </w:r>
      <w:r w:rsidRPr="004D2F29">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 xml:space="preserve">Introdução: </w:t>
      </w:r>
      <w:r w:rsidRPr="004D2F29">
        <w:rPr>
          <w:color w:val="1A1A1A"/>
          <w:sz w:val="22"/>
        </w:rPr>
        <w:t xml:space="preserve">As diretrizes da American Thyroid Association (ATA) publicadas em 2025 modificaram os alvos de TSH dos pacientes com carcinoma diferenciado de tireoide (CDT) conforme </w:t>
      </w:r>
      <w:proofErr w:type="gramStart"/>
      <w:r w:rsidRPr="004D2F29">
        <w:rPr>
          <w:color w:val="1A1A1A"/>
          <w:sz w:val="22"/>
        </w:rPr>
        <w:t>a</w:t>
      </w:r>
      <w:proofErr w:type="gramEnd"/>
      <w:r w:rsidRPr="004D2F29">
        <w:rPr>
          <w:color w:val="1A1A1A"/>
          <w:sz w:val="22"/>
        </w:rPr>
        <w:t xml:space="preserve"> estratificação de dinâmica de risco, devido a falta de evidência do benefício de manter níveis supressos de TSH e dos possíveis efeitos adversos no sistema cardiovascular e ósseo. Assim, destacaram </w:t>
      </w:r>
      <w:proofErr w:type="gramStart"/>
      <w:r w:rsidRPr="004D2F29">
        <w:rPr>
          <w:color w:val="1A1A1A"/>
          <w:sz w:val="22"/>
        </w:rPr>
        <w:t>a</w:t>
      </w:r>
      <w:proofErr w:type="gramEnd"/>
      <w:r w:rsidRPr="004D2F29">
        <w:rPr>
          <w:color w:val="1A1A1A"/>
          <w:sz w:val="22"/>
        </w:rPr>
        <w:t xml:space="preserve"> importância da individualização das metas de alvo de TSH. </w:t>
      </w:r>
      <w:r w:rsidRPr="004D2F29">
        <w:rPr>
          <w:b/>
          <w:color w:val="1A1A1A"/>
          <w:sz w:val="22"/>
        </w:rPr>
        <w:t xml:space="preserve">Objetivo: </w:t>
      </w:r>
      <w:r w:rsidRPr="004D2F29">
        <w:rPr>
          <w:color w:val="1A1A1A"/>
          <w:sz w:val="22"/>
        </w:rPr>
        <w:t xml:space="preserve">Quantificar o impacto da nova diretriz de manejo da ATA de 2025 no alvo de TSH para pacientes com CDT submetidos a tireoidectomia total e terapia com iodo radioativo atendidos em ambulatório terciário. </w:t>
      </w:r>
      <w:r w:rsidRPr="004D2F29">
        <w:rPr>
          <w:b/>
          <w:color w:val="1A1A1A"/>
          <w:sz w:val="22"/>
        </w:rPr>
        <w:t xml:space="preserve">Métodos: </w:t>
      </w:r>
      <w:r w:rsidRPr="004D2F29">
        <w:rPr>
          <w:color w:val="1A1A1A"/>
          <w:sz w:val="22"/>
        </w:rPr>
        <w:t xml:space="preserve">Estudo de coorte, retrospectivo. A coleta de dados foi realizada por meio da revisão de prontuários de pacientes com CDT atendidos em ambulatório especializado em tireoide entre 1/4/25 e 28/2/26. Foram incluídos os pacientes que apresentaram exames de TSH, tireoglobulina, anticorpos antitireoglobulina e ecografia cervical e demais comorbidades dos pacientes não interferiram na decisão do alvo de TSH. </w:t>
      </w:r>
      <w:r w:rsidRPr="004D2F29">
        <w:rPr>
          <w:b/>
          <w:color w:val="1A1A1A"/>
          <w:sz w:val="22"/>
        </w:rPr>
        <w:t xml:space="preserve">Resultados: </w:t>
      </w:r>
      <w:r w:rsidRPr="004D2F29">
        <w:rPr>
          <w:color w:val="1A1A1A"/>
          <w:sz w:val="22"/>
        </w:rPr>
        <w:t xml:space="preserve">Foram incluídos 35 pacientes, dos quais 3 foram excluídos devido à falta de dados. A média de idade ao diagnóstico foi de 46,1 ± 14,0 anos sendo 28 (87,5%) mulheres e 4 (12,5%) homens. O tempo médio de acompanhamento foi de 12,6 ± 11,0 anos. Em relação ao subtipo histológico, o mais comum foi o carcinoma papilífero (84,4%), seguido do folicular (12,5%) e do oncocítico, que representou apenas 1 (3,1%) paciente. Em relação à classificação de resposta à terapia no momento da avaliação, 15 (46,9%) dos pacientes apresentaram excelente; 11 (34,4%) indeterminada; 4 (12,5%), estrutural incompleta; e 2 (6,3%), bioquímica incompleta. Após a classificação segundo as diretrizes da ATA de 2015 e 2025 e o ajuste do alvo de TSH conforme a classificação de resposta à terapia, observou-se a mudança do alvo de TSH em 17 (53,1%) pacientes. Seis pacientes tiveram o alvo de TSH ajustado de &lt;0,1 mU/L para manutenção abaixo da faixa de referência normal e 11 pacientes sofreram ajuste do alvo de 0,1 a 0,5 mU/L para dentro da faixa de referência normal do laboratório. </w:t>
      </w:r>
      <w:r w:rsidRPr="004D2F29">
        <w:rPr>
          <w:b/>
          <w:color w:val="1A1A1A"/>
          <w:sz w:val="22"/>
        </w:rPr>
        <w:t>Conclusão:</w:t>
      </w:r>
      <w:r w:rsidRPr="004D2F29">
        <w:rPr>
          <w:color w:val="1A1A1A"/>
          <w:sz w:val="22"/>
        </w:rPr>
        <w:t xml:space="preserve"> A reclassificação dos pacientes com CDT culmina em alvos mais permissivos de TSH em cerca de 50% deles. É digno de nota o impacto prático possivelmente relacionado à menor incidência de efeitos colaterais relacionados à droga. </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Pontifícia Universidade Católica do Rio Grande do Sul</w:t>
      </w:r>
    </w:p>
    <w:p w:rsidR="000B5910" w:rsidRDefault="000B5910">
      <w:pPr>
        <w:sectPr w:rsidR="000B5910">
          <w:headerReference w:type="default" r:id="rId259"/>
          <w:footerReference w:type="default" r:id="rId26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CÂNCER DE TIREOIDE NO BRASIL: ANÁLISE DA DISTRIBUIÇÃO REGIONAL, ESTADIAMENTO E TRATAMENTO DOS CASOS ENTRE 2016-2026</w:t>
      </w:r>
    </w:p>
    <w:p w:rsidR="000B5910" w:rsidRPr="004D2F29" w:rsidRDefault="00057F5C">
      <w:pPr>
        <w:spacing w:after="40" w:line="252" w:lineRule="auto"/>
        <w:jc w:val="right"/>
        <w:rPr>
          <w:szCs w:val="21"/>
        </w:rPr>
      </w:pPr>
      <w:r w:rsidRPr="004D2F29">
        <w:rPr>
          <w:color w:val="1A1A1A"/>
          <w:szCs w:val="21"/>
        </w:rPr>
        <w:t>Fernando Augusto Siuta dos Santos</w:t>
      </w:r>
      <w:r w:rsidRPr="004D2F29">
        <w:rPr>
          <w:color w:val="1A1A1A"/>
          <w:szCs w:val="21"/>
          <w:vertAlign w:val="superscript"/>
        </w:rPr>
        <w:t>1</w:t>
      </w:r>
      <w:r w:rsidRPr="004D2F29">
        <w:rPr>
          <w:szCs w:val="21"/>
        </w:rPr>
        <w:br/>
      </w:r>
      <w:r w:rsidRPr="004D2F29">
        <w:rPr>
          <w:color w:val="1A1A1A"/>
          <w:szCs w:val="21"/>
        </w:rPr>
        <w:t>Bruno Boeira Castiel</w:t>
      </w:r>
      <w:r w:rsidRPr="004D2F29">
        <w:rPr>
          <w:color w:val="1A1A1A"/>
          <w:szCs w:val="21"/>
          <w:vertAlign w:val="superscript"/>
        </w:rPr>
        <w:t>2</w:t>
      </w:r>
      <w:r w:rsidRPr="004D2F29">
        <w:rPr>
          <w:szCs w:val="21"/>
        </w:rPr>
        <w:br/>
      </w:r>
      <w:r w:rsidRPr="004D2F29">
        <w:rPr>
          <w:color w:val="1A1A1A"/>
          <w:szCs w:val="21"/>
        </w:rPr>
        <w:t>Julia Loureiro Chaves Cé</w:t>
      </w:r>
      <w:r w:rsidRPr="004D2F29">
        <w:rPr>
          <w:color w:val="1A1A1A"/>
          <w:szCs w:val="21"/>
          <w:vertAlign w:val="superscript"/>
        </w:rPr>
        <w:t>1</w:t>
      </w:r>
      <w:r w:rsidRPr="004D2F29">
        <w:rPr>
          <w:szCs w:val="21"/>
        </w:rPr>
        <w:br/>
      </w:r>
      <w:r w:rsidRPr="004D2F29">
        <w:rPr>
          <w:color w:val="1A1A1A"/>
          <w:szCs w:val="21"/>
        </w:rPr>
        <w:t>Mariana Weremeier Weber</w:t>
      </w:r>
      <w:r w:rsidRPr="004D2F29">
        <w:rPr>
          <w:color w:val="1A1A1A"/>
          <w:szCs w:val="21"/>
          <w:vertAlign w:val="superscript"/>
        </w:rPr>
        <w:t>1</w:t>
      </w:r>
      <w:r w:rsidRPr="004D2F29">
        <w:rPr>
          <w:szCs w:val="21"/>
        </w:rPr>
        <w:br/>
      </w:r>
      <w:r w:rsidRPr="004D2F29">
        <w:rPr>
          <w:color w:val="1A1A1A"/>
          <w:szCs w:val="21"/>
        </w:rPr>
        <w:t>Pedro Dytz Marin</w:t>
      </w:r>
      <w:r w:rsidRPr="004D2F29">
        <w:rPr>
          <w:color w:val="1A1A1A"/>
          <w:szCs w:val="21"/>
          <w:vertAlign w:val="superscript"/>
        </w:rPr>
        <w:t>1</w:t>
      </w:r>
      <w:r w:rsidRPr="004D2F29">
        <w:rPr>
          <w:szCs w:val="21"/>
        </w:rPr>
        <w:br/>
      </w:r>
      <w:r w:rsidRPr="004D2F29">
        <w:rPr>
          <w:color w:val="1A1A1A"/>
          <w:szCs w:val="21"/>
        </w:rPr>
        <w:t>Bruna Elis Martiny</w:t>
      </w:r>
      <w:r w:rsidRPr="004D2F29">
        <w:rPr>
          <w:color w:val="1A1A1A"/>
          <w:szCs w:val="21"/>
          <w:vertAlign w:val="superscript"/>
        </w:rPr>
        <w:t>3</w:t>
      </w:r>
      <w:r w:rsidRPr="004D2F29">
        <w:rPr>
          <w:szCs w:val="21"/>
        </w:rPr>
        <w:br/>
      </w:r>
      <w:r w:rsidRPr="004D2F29">
        <w:rPr>
          <w:color w:val="1A1A1A"/>
          <w:szCs w:val="21"/>
        </w:rPr>
        <w:t>Giulia Scain</w:t>
      </w:r>
      <w:r w:rsidRPr="004D2F29">
        <w:rPr>
          <w:color w:val="1A1A1A"/>
          <w:szCs w:val="21"/>
          <w:vertAlign w:val="superscript"/>
        </w:rPr>
        <w:t>1</w:t>
      </w:r>
      <w:r w:rsidRPr="004D2F29">
        <w:rPr>
          <w:szCs w:val="21"/>
        </w:rPr>
        <w:br/>
      </w:r>
      <w:r w:rsidRPr="004D2F29">
        <w:rPr>
          <w:color w:val="1A1A1A"/>
          <w:szCs w:val="21"/>
        </w:rPr>
        <w:t>Karolaine Aparecida Borba Lopes</w:t>
      </w:r>
      <w:r w:rsidRPr="004D2F29">
        <w:rPr>
          <w:color w:val="1A1A1A"/>
          <w:szCs w:val="21"/>
          <w:vertAlign w:val="superscript"/>
        </w:rPr>
        <w:t>4</w:t>
      </w:r>
      <w:r w:rsidRPr="004D2F29">
        <w:rPr>
          <w:szCs w:val="21"/>
        </w:rPr>
        <w:br/>
      </w:r>
      <w:r w:rsidRPr="004D2F29">
        <w:rPr>
          <w:color w:val="1A1A1A"/>
          <w:szCs w:val="21"/>
        </w:rPr>
        <w:t>Rafaela Sumienski Girardi</w:t>
      </w:r>
      <w:r w:rsidRPr="004D2F29">
        <w:rPr>
          <w:color w:val="1A1A1A"/>
          <w:szCs w:val="21"/>
          <w:vertAlign w:val="superscript"/>
        </w:rPr>
        <w:t>1</w:t>
      </w:r>
    </w:p>
    <w:p w:rsidR="000B5910" w:rsidRDefault="00057F5C">
      <w:pPr>
        <w:spacing w:before="200" w:after="100"/>
      </w:pPr>
      <w:r>
        <w:rPr>
          <w:b/>
          <w:color w:val="1A1A1A"/>
          <w:sz w:val="22"/>
          <w:szCs w:val="24"/>
        </w:rPr>
        <w:t>RESUMO</w:t>
      </w:r>
    </w:p>
    <w:p w:rsidR="000B5910" w:rsidRPr="004D2F29" w:rsidRDefault="00057F5C">
      <w:pPr>
        <w:spacing w:after="80" w:line="264" w:lineRule="auto"/>
        <w:jc w:val="both"/>
        <w:rPr>
          <w:sz w:val="22"/>
        </w:rPr>
      </w:pPr>
      <w:r w:rsidRPr="004D2F29">
        <w:rPr>
          <w:b/>
          <w:color w:val="1A1A1A"/>
          <w:sz w:val="22"/>
        </w:rPr>
        <w:t>Introdução:</w:t>
      </w:r>
      <w:r w:rsidRPr="004D2F29">
        <w:rPr>
          <w:color w:val="1A1A1A"/>
          <w:sz w:val="22"/>
        </w:rPr>
        <w:t xml:space="preserve"> O Câncer de tireóide é a neoplasia endocrinológica mais comum no Brasil; embora possua bom prognóstico generalizado, especialmente em diagnósticos precoces, estágios avançados ainda são associados a maior morbimortalidade. Diante disso, faz-se relevante avaliar o perfil epidemiológico da comorbidade no país para identificar possíveis desigualdades e limitações nos registros disponíveis e no acesso ao diagnóstico da doença.</w:t>
      </w:r>
      <w:r w:rsidRPr="004D2F29">
        <w:rPr>
          <w:b/>
          <w:color w:val="1A1A1A"/>
          <w:sz w:val="22"/>
        </w:rPr>
        <w:t xml:space="preserve"> Objetivo:</w:t>
      </w:r>
      <w:r w:rsidRPr="004D2F29">
        <w:rPr>
          <w:color w:val="1A1A1A"/>
          <w:sz w:val="22"/>
        </w:rPr>
        <w:t xml:space="preserve"> Analisar a distribuição regional, o estadiamento ao diagnóstico e o registro de tratamento dos casos de câncer de tireoide no Brasil entre 2016 e 2026. </w:t>
      </w:r>
      <w:r w:rsidRPr="004D2F29">
        <w:rPr>
          <w:b/>
          <w:color w:val="1A1A1A"/>
          <w:sz w:val="22"/>
        </w:rPr>
        <w:t xml:space="preserve">Métodos: </w:t>
      </w:r>
      <w:r w:rsidRPr="004D2F29">
        <w:rPr>
          <w:color w:val="1A1A1A"/>
          <w:sz w:val="22"/>
        </w:rPr>
        <w:t>Estudo epidemiológico retrospectivo acerca dos casos de câncer de tireoide na população brasileira, entre 2016 e 2026. Foi utilizada a base de dados do Departamento de Informática do Sistema Único de Saúde do Brasil (DATASUS), na seção “Painel Oncologia”, bem como dados populacionais do IBGE. As variáveis analisadas incluíram casos segundo o diagnóstico, estadiamento da doença e registro de tratamento.</w:t>
      </w:r>
      <w:r w:rsidRPr="004D2F29">
        <w:rPr>
          <w:b/>
          <w:color w:val="1A1A1A"/>
          <w:sz w:val="22"/>
        </w:rPr>
        <w:t xml:space="preserve"> Resultados:</w:t>
      </w:r>
      <w:r w:rsidRPr="004D2F29">
        <w:rPr>
          <w:color w:val="1A1A1A"/>
          <w:sz w:val="22"/>
        </w:rPr>
        <w:t xml:space="preserve"> No período de 2016 a 2026, o câncer de tireoide correspondeu a ~0,028% da população brasileira. Observou-se distribuição regional heterogênea, com maior concentração de casos no Sudeste (41,63%), seguido pelo Nordeste (33,20%) e Sul (16,46%). As regiões Centro-Oeste e Norte se distanciam das demais, com 5,17% e 3,51% dos casos, respectivamente. Dentre a população regional, verificou-se variação nas taxas proporcionais: Nordeste (0,035%) e Sul (0,031%) apresentaram valores acima da média nacional, seguidos pelo Sudeste (0,028%). Já o Centro-Oeste (0,018%) e o Norte (0,011%) apresentaram menores proporções de casos. Quanto ao estadiamento, houve predomínio de diagnósticos em estágios avançados (III e IV). Entretanto, a maioria dos registros apresentava estadiamento ignorado, limitando análises mais precisas sobre o perfil de detecção da doença. Sobre o tratamento, todas as regiões apresentaram número de procedimentos registrados inferior ao total de casos identificados no período. Isso sugere possível subnotificação, atraso terapêutico ou falhas no registro dos dados assistenciais.</w:t>
      </w:r>
      <w:r w:rsidRPr="004D2F29">
        <w:rPr>
          <w:b/>
          <w:color w:val="1A1A1A"/>
          <w:sz w:val="22"/>
        </w:rPr>
        <w:t xml:space="preserve"> Conclusão:</w:t>
      </w:r>
      <w:r w:rsidRPr="004D2F29">
        <w:rPr>
          <w:color w:val="1A1A1A"/>
          <w:sz w:val="22"/>
        </w:rPr>
        <w:t xml:space="preserve"> Com isso, os resultados evidenciam desigualdades regionais na distribuição dos casos, além de importantes lacunas na qualidade das informações, especialmente no estadiamento e no registro de tratamento. Assim, os achados indicam necessidade de melhorar a qualidade dos dados e o diagnóstico precoce.</w:t>
      </w:r>
    </w:p>
    <w:p w:rsidR="000B5910" w:rsidRDefault="000B5910">
      <w:pPr>
        <w:pBdr>
          <w:bottom w:val="single" w:sz="4" w:space="2" w:color="808080"/>
        </w:pBdr>
        <w:spacing w:before="120" w:after="40"/>
      </w:pPr>
    </w:p>
    <w:p w:rsidR="000B5910" w:rsidRPr="004D2F29" w:rsidRDefault="00057F5C">
      <w:pPr>
        <w:spacing w:after="0" w:line="252" w:lineRule="auto"/>
        <w:rPr>
          <w:sz w:val="16"/>
          <w:szCs w:val="16"/>
        </w:rPr>
      </w:pPr>
      <w:r w:rsidRPr="004D2F29">
        <w:rPr>
          <w:color w:val="595959"/>
          <w:sz w:val="16"/>
          <w:szCs w:val="16"/>
          <w:vertAlign w:val="superscript"/>
        </w:rPr>
        <w:t>1</w:t>
      </w:r>
      <w:r w:rsidRPr="004D2F29">
        <w:rPr>
          <w:color w:val="595959"/>
          <w:sz w:val="16"/>
          <w:szCs w:val="16"/>
        </w:rPr>
        <w:t xml:space="preserve"> Universidade Federal de Ciências da Saúde de Porto Aleegre</w:t>
      </w:r>
    </w:p>
    <w:p w:rsidR="000B5910" w:rsidRPr="004D2F29" w:rsidRDefault="00057F5C">
      <w:pPr>
        <w:spacing w:after="0" w:line="252" w:lineRule="auto"/>
        <w:rPr>
          <w:sz w:val="16"/>
          <w:szCs w:val="16"/>
        </w:rPr>
      </w:pPr>
      <w:r w:rsidRPr="004D2F29">
        <w:rPr>
          <w:color w:val="595959"/>
          <w:sz w:val="16"/>
          <w:szCs w:val="16"/>
          <w:vertAlign w:val="superscript"/>
        </w:rPr>
        <w:t>2</w:t>
      </w:r>
      <w:r w:rsidRPr="004D2F29">
        <w:rPr>
          <w:color w:val="595959"/>
          <w:sz w:val="16"/>
          <w:szCs w:val="16"/>
        </w:rPr>
        <w:t xml:space="preserve"> Pontifícia Universidade Católica</w:t>
      </w:r>
    </w:p>
    <w:p w:rsidR="000B5910" w:rsidRPr="004D2F29" w:rsidRDefault="00057F5C">
      <w:pPr>
        <w:spacing w:after="0" w:line="252" w:lineRule="auto"/>
        <w:rPr>
          <w:sz w:val="16"/>
          <w:szCs w:val="16"/>
        </w:rPr>
      </w:pPr>
      <w:r w:rsidRPr="004D2F29">
        <w:rPr>
          <w:color w:val="595959"/>
          <w:sz w:val="16"/>
          <w:szCs w:val="16"/>
          <w:vertAlign w:val="superscript"/>
        </w:rPr>
        <w:t>3</w:t>
      </w:r>
      <w:r w:rsidRPr="004D2F29">
        <w:rPr>
          <w:color w:val="595959"/>
          <w:sz w:val="16"/>
          <w:szCs w:val="16"/>
        </w:rPr>
        <w:t xml:space="preserve"> Universidade Luterana do Brasil</w:t>
      </w:r>
    </w:p>
    <w:p w:rsidR="000B5910" w:rsidRPr="004D2F29" w:rsidRDefault="00057F5C">
      <w:pPr>
        <w:spacing w:after="0" w:line="252" w:lineRule="auto"/>
        <w:rPr>
          <w:sz w:val="16"/>
          <w:szCs w:val="16"/>
        </w:rPr>
      </w:pPr>
      <w:r w:rsidRPr="004D2F29">
        <w:rPr>
          <w:color w:val="595959"/>
          <w:sz w:val="16"/>
          <w:szCs w:val="16"/>
          <w:vertAlign w:val="superscript"/>
        </w:rPr>
        <w:t>4</w:t>
      </w:r>
      <w:r w:rsidRPr="004D2F29">
        <w:rPr>
          <w:color w:val="595959"/>
          <w:sz w:val="16"/>
          <w:szCs w:val="16"/>
        </w:rPr>
        <w:t xml:space="preserve"> Universidade Federal do Rio Grande do Sul</w:t>
      </w:r>
    </w:p>
    <w:p w:rsidR="000B5910" w:rsidRDefault="000B5910">
      <w:pPr>
        <w:sectPr w:rsidR="000B5910">
          <w:headerReference w:type="default" r:id="rId261"/>
          <w:footerReference w:type="default" r:id="rId26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EXPRESSÃO AUMENTADA DA DESIODINASE TIPO 3 NO CÉREBRO EM MODELO ANIMAL DE DOENÇA HEPÁTICA ESTEATÓTICA ASSOCIADA À DISFUNÇÃO METABÓLICA</w:t>
      </w:r>
    </w:p>
    <w:p w:rsidR="000B5910" w:rsidRPr="004D2F29" w:rsidRDefault="00057F5C">
      <w:pPr>
        <w:spacing w:after="40" w:line="252" w:lineRule="auto"/>
        <w:jc w:val="right"/>
        <w:rPr>
          <w:szCs w:val="21"/>
        </w:rPr>
      </w:pPr>
      <w:r w:rsidRPr="004D2F29">
        <w:rPr>
          <w:color w:val="1A1A1A"/>
          <w:szCs w:val="21"/>
        </w:rPr>
        <w:t>Milena Dias Da Silva</w:t>
      </w:r>
      <w:r w:rsidRPr="004D2F29">
        <w:rPr>
          <w:color w:val="1A1A1A"/>
          <w:szCs w:val="21"/>
          <w:vertAlign w:val="superscript"/>
        </w:rPr>
        <w:t>1</w:t>
      </w:r>
      <w:r w:rsidRPr="004D2F29">
        <w:rPr>
          <w:szCs w:val="21"/>
        </w:rPr>
        <w:br/>
      </w:r>
      <w:r w:rsidRPr="004D2F29">
        <w:rPr>
          <w:color w:val="1A1A1A"/>
          <w:szCs w:val="21"/>
        </w:rPr>
        <w:t>Thaliane Carvalho Oliveira</w:t>
      </w:r>
      <w:r w:rsidRPr="004D2F29">
        <w:rPr>
          <w:color w:val="1A1A1A"/>
          <w:szCs w:val="21"/>
          <w:vertAlign w:val="superscript"/>
        </w:rPr>
        <w:t>1</w:t>
      </w:r>
      <w:r w:rsidRPr="004D2F29">
        <w:rPr>
          <w:szCs w:val="21"/>
        </w:rPr>
        <w:br/>
      </w:r>
      <w:r w:rsidRPr="004D2F29">
        <w:rPr>
          <w:color w:val="1A1A1A"/>
          <w:szCs w:val="21"/>
        </w:rPr>
        <w:t>Rachel Pinto Dornelles Dutra</w:t>
      </w:r>
      <w:r w:rsidRPr="004D2F29">
        <w:rPr>
          <w:color w:val="1A1A1A"/>
          <w:szCs w:val="21"/>
          <w:vertAlign w:val="superscript"/>
        </w:rPr>
        <w:t>1</w:t>
      </w:r>
      <w:r w:rsidRPr="004D2F29">
        <w:rPr>
          <w:szCs w:val="21"/>
        </w:rPr>
        <w:br/>
      </w:r>
      <w:r w:rsidRPr="004D2F29">
        <w:rPr>
          <w:color w:val="1A1A1A"/>
          <w:szCs w:val="21"/>
        </w:rPr>
        <w:t>Maria Alice Smielevski Gomes</w:t>
      </w:r>
      <w:r w:rsidRPr="004D2F29">
        <w:rPr>
          <w:color w:val="1A1A1A"/>
          <w:szCs w:val="21"/>
          <w:vertAlign w:val="superscript"/>
        </w:rPr>
        <w:t>1</w:t>
      </w:r>
      <w:r w:rsidRPr="004D2F29">
        <w:rPr>
          <w:szCs w:val="21"/>
        </w:rPr>
        <w:br/>
      </w:r>
      <w:r w:rsidRPr="004D2F29">
        <w:rPr>
          <w:color w:val="1A1A1A"/>
          <w:szCs w:val="21"/>
        </w:rPr>
        <w:t>Carolina Fischer Nadvorny</w:t>
      </w:r>
      <w:r w:rsidRPr="004D2F29">
        <w:rPr>
          <w:color w:val="1A1A1A"/>
          <w:szCs w:val="21"/>
          <w:vertAlign w:val="superscript"/>
        </w:rPr>
        <w:t>2</w:t>
      </w:r>
      <w:r w:rsidRPr="004D2F29">
        <w:rPr>
          <w:szCs w:val="21"/>
        </w:rPr>
        <w:br/>
      </w:r>
      <w:r w:rsidRPr="004D2F29">
        <w:rPr>
          <w:color w:val="1A1A1A"/>
          <w:szCs w:val="21"/>
        </w:rPr>
        <w:t>Magali Ghisoffi</w:t>
      </w:r>
      <w:r w:rsidRPr="004D2F29">
        <w:rPr>
          <w:color w:val="1A1A1A"/>
          <w:szCs w:val="21"/>
          <w:vertAlign w:val="superscript"/>
        </w:rPr>
        <w:t>2</w:t>
      </w:r>
      <w:r w:rsidRPr="004D2F29">
        <w:rPr>
          <w:szCs w:val="21"/>
        </w:rPr>
        <w:br/>
      </w:r>
      <w:r w:rsidRPr="004D2F29">
        <w:rPr>
          <w:color w:val="1A1A1A"/>
          <w:szCs w:val="21"/>
        </w:rPr>
        <w:t>Jessica Carvalho Sindo</w:t>
      </w:r>
      <w:r w:rsidRPr="004D2F29">
        <w:rPr>
          <w:color w:val="1A1A1A"/>
          <w:szCs w:val="21"/>
          <w:vertAlign w:val="superscript"/>
        </w:rPr>
        <w:t>3</w:t>
      </w:r>
      <w:r w:rsidRPr="004D2F29">
        <w:rPr>
          <w:szCs w:val="21"/>
        </w:rPr>
        <w:br/>
      </w:r>
      <w:r w:rsidRPr="004D2F29">
        <w:rPr>
          <w:color w:val="1A1A1A"/>
          <w:szCs w:val="21"/>
        </w:rPr>
        <w:t>Rafael Teixeira Ribeiro</w:t>
      </w:r>
      <w:r w:rsidRPr="004D2F29">
        <w:rPr>
          <w:color w:val="1A1A1A"/>
          <w:szCs w:val="21"/>
          <w:vertAlign w:val="superscript"/>
        </w:rPr>
        <w:t>1</w:t>
      </w:r>
      <w:r w:rsidRPr="004D2F29">
        <w:rPr>
          <w:szCs w:val="21"/>
        </w:rPr>
        <w:br/>
      </w:r>
      <w:r w:rsidRPr="004D2F29">
        <w:rPr>
          <w:color w:val="1A1A1A"/>
          <w:szCs w:val="21"/>
        </w:rPr>
        <w:t>Bruno De Souza Basso</w:t>
      </w:r>
      <w:r w:rsidRPr="004D2F29">
        <w:rPr>
          <w:color w:val="1A1A1A"/>
          <w:szCs w:val="21"/>
          <w:vertAlign w:val="superscript"/>
        </w:rPr>
        <w:t>1</w:t>
      </w:r>
      <w:r w:rsidRPr="004D2F29">
        <w:rPr>
          <w:szCs w:val="21"/>
        </w:rPr>
        <w:br/>
      </w:r>
      <w:r w:rsidRPr="004D2F29">
        <w:rPr>
          <w:color w:val="1A1A1A"/>
          <w:szCs w:val="21"/>
        </w:rPr>
        <w:t>Elisa Carolina Lange</w:t>
      </w:r>
      <w:r w:rsidRPr="004D2F29">
        <w:rPr>
          <w:color w:val="1A1A1A"/>
          <w:szCs w:val="21"/>
          <w:vertAlign w:val="superscript"/>
        </w:rPr>
        <w:t>2</w:t>
      </w:r>
      <w:r w:rsidRPr="004D2F29">
        <w:rPr>
          <w:szCs w:val="21"/>
        </w:rPr>
        <w:br/>
      </w:r>
      <w:r w:rsidRPr="004D2F29">
        <w:rPr>
          <w:color w:val="1A1A1A"/>
          <w:szCs w:val="21"/>
        </w:rPr>
        <w:t>Maria Inês Gonzalez Solari</w:t>
      </w:r>
      <w:r w:rsidRPr="004D2F29">
        <w:rPr>
          <w:color w:val="1A1A1A"/>
          <w:szCs w:val="21"/>
          <w:vertAlign w:val="superscript"/>
        </w:rPr>
        <w:t>1</w:t>
      </w:r>
      <w:r w:rsidRPr="004D2F29">
        <w:rPr>
          <w:szCs w:val="21"/>
        </w:rPr>
        <w:br/>
      </w:r>
      <w:r w:rsidRPr="004D2F29">
        <w:rPr>
          <w:color w:val="1A1A1A"/>
          <w:szCs w:val="21"/>
        </w:rPr>
        <w:t xml:space="preserve">Mario Reis Alvares </w:t>
      </w:r>
      <w:proofErr w:type="gramStart"/>
      <w:r w:rsidRPr="004D2F29">
        <w:rPr>
          <w:color w:val="1A1A1A"/>
          <w:szCs w:val="21"/>
        </w:rPr>
        <w:t>Da</w:t>
      </w:r>
      <w:proofErr w:type="gramEnd"/>
      <w:r w:rsidRPr="004D2F29">
        <w:rPr>
          <w:color w:val="1A1A1A"/>
          <w:szCs w:val="21"/>
        </w:rPr>
        <w:t xml:space="preserve"> Silva</w:t>
      </w:r>
      <w:r w:rsidRPr="004D2F29">
        <w:rPr>
          <w:color w:val="1A1A1A"/>
          <w:szCs w:val="21"/>
          <w:vertAlign w:val="superscript"/>
        </w:rPr>
        <w:t>1</w:t>
      </w:r>
      <w:r w:rsidRPr="004D2F29">
        <w:rPr>
          <w:szCs w:val="21"/>
        </w:rPr>
        <w:br/>
      </w:r>
      <w:r w:rsidRPr="004D2F29">
        <w:rPr>
          <w:color w:val="1A1A1A"/>
          <w:szCs w:val="21"/>
        </w:rPr>
        <w:t>Simone Magagnin Wajner</w:t>
      </w:r>
      <w:r w:rsidRPr="004D2F29">
        <w:rPr>
          <w:color w:val="1A1A1A"/>
          <w:szCs w:val="21"/>
          <w:vertAlign w:val="superscript"/>
        </w:rPr>
        <w:t>1</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 xml:space="preserve">Introdução: </w:t>
      </w:r>
      <w:r w:rsidRPr="00004A23">
        <w:rPr>
          <w:color w:val="1A1A1A"/>
          <w:sz w:val="22"/>
        </w:rPr>
        <w:t xml:space="preserve">Os hormônios tireoidianos são essenciais para a homeostase cerebral, regulando plasticidade neuronal, metabolismo energético e função mitocondrial. Alterações inflamatórias e oxidativas podem comprometer a biodisponibilidade local de triiodotironina (T3), especialmente por aumento da desiodinase tipo 3 (D3), enzima responsável por sua inativação. Na doença hepática esteatótica associada à disfunção metabólica, mecanismos como estresse oxidativo, inflamação sistêmica e disfunção mitocondrial podem impactar o eixo cérebro-fígado, porém os efeitos sobre o metabolismo tireoidiano cerebral ainda não estão totalmente esclarecidos. </w:t>
      </w:r>
      <w:r w:rsidRPr="00004A23">
        <w:rPr>
          <w:b/>
          <w:color w:val="1A1A1A"/>
          <w:sz w:val="22"/>
        </w:rPr>
        <w:t>Objetivo:</w:t>
      </w:r>
      <w:r w:rsidRPr="00004A23">
        <w:rPr>
          <w:color w:val="1A1A1A"/>
          <w:sz w:val="22"/>
        </w:rPr>
        <w:t xml:space="preserve"> Investigar a regulação da D3 e suas repercussões cerebrais em um modelo animal de doença hepática esteatótica associada à disfunção metabólica.</w:t>
      </w:r>
      <w:r w:rsidRPr="00004A23">
        <w:rPr>
          <w:b/>
          <w:color w:val="1A1A1A"/>
          <w:sz w:val="22"/>
        </w:rPr>
        <w:t xml:space="preserve"> Métodos:</w:t>
      </w:r>
      <w:r w:rsidRPr="00004A23">
        <w:rPr>
          <w:color w:val="1A1A1A"/>
          <w:sz w:val="22"/>
        </w:rPr>
        <w:t xml:space="preserve"> Ratos machos Sprague Dawley (n=20) foram distribuídos em grupo controle ou submetidos a dieta hiperlipídica deficiente em colina por 18 semanas. Foram analisados parâmetros de estresse oxidativo, expressão e níveis proteicos de D3, genes responsivos ao T3, estresse do retículo endoplasmático e função mitocondrial. </w:t>
      </w:r>
      <w:r w:rsidRPr="00004A23">
        <w:rPr>
          <w:b/>
          <w:color w:val="1A1A1A"/>
          <w:sz w:val="22"/>
        </w:rPr>
        <w:t xml:space="preserve">Resultados: </w:t>
      </w:r>
      <w:r w:rsidRPr="00004A23">
        <w:rPr>
          <w:color w:val="1A1A1A"/>
          <w:sz w:val="22"/>
        </w:rPr>
        <w:t xml:space="preserve">O grupo doente apresentou aumento da amônia plasmática. No cérebro, observou-se elevação de carbonilas e substâncias reativas ao ácido tiobarbitúrico (p&lt;0,001), com redução de sulfidrilas e glutationa (p&lt;0,001). Houve aumento significativo da D3 (p&lt;0,0001), mediado pela via ERK, associado à diminuição de genes dependentes de T3. Também foram identificados aumento do estresse do retículo endoplasmático e redução da biogênese mitocondrial (p=0,001), além de comprometimento da respiração mitocondrial. </w:t>
      </w:r>
      <w:r w:rsidRPr="00004A23">
        <w:rPr>
          <w:b/>
          <w:color w:val="1A1A1A"/>
          <w:sz w:val="22"/>
        </w:rPr>
        <w:t xml:space="preserve">Conclusão: </w:t>
      </w:r>
      <w:r w:rsidRPr="00004A23">
        <w:rPr>
          <w:color w:val="1A1A1A"/>
          <w:sz w:val="22"/>
        </w:rPr>
        <w:t>A maior expressão da D3 reduz a disponibilidade de T3 no cérebro, contribuindo para disfunção bioenergética, estresse oxidativo e alterações celulares que podem participar do agravamento das manifestações neurológicas associadas à doença hepática.</w:t>
      </w:r>
    </w:p>
    <w:p w:rsidR="000B5910" w:rsidRDefault="000B5910">
      <w:pPr>
        <w:pBdr>
          <w:bottom w:val="single" w:sz="4" w:space="2" w:color="808080"/>
        </w:pBdr>
        <w:spacing w:before="16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Federal Do Rio Grande Do Sul - UFRGS, Porto Alegre - RS - Brasil</w:t>
      </w:r>
    </w:p>
    <w:p w:rsidR="000B5910" w:rsidRPr="00004A23" w:rsidRDefault="00057F5C">
      <w:pPr>
        <w:spacing w:after="0" w:line="252" w:lineRule="auto"/>
        <w:rPr>
          <w:sz w:val="16"/>
          <w:szCs w:val="16"/>
        </w:rPr>
      </w:pPr>
      <w:r w:rsidRPr="00004A23">
        <w:rPr>
          <w:color w:val="595959"/>
          <w:sz w:val="16"/>
          <w:szCs w:val="16"/>
          <w:vertAlign w:val="superscript"/>
        </w:rPr>
        <w:t>2</w:t>
      </w:r>
      <w:r w:rsidRPr="00004A23">
        <w:rPr>
          <w:color w:val="595959"/>
          <w:sz w:val="16"/>
          <w:szCs w:val="16"/>
        </w:rPr>
        <w:t xml:space="preserve"> Universidade Federal Do Rio Grande Do Sul - UFRGS</w:t>
      </w:r>
    </w:p>
    <w:p w:rsidR="000B5910" w:rsidRPr="00004A23" w:rsidRDefault="00057F5C">
      <w:pPr>
        <w:spacing w:after="0" w:line="252" w:lineRule="auto"/>
        <w:rPr>
          <w:sz w:val="16"/>
          <w:szCs w:val="16"/>
        </w:rPr>
      </w:pPr>
      <w:r w:rsidRPr="00004A23">
        <w:rPr>
          <w:color w:val="595959"/>
          <w:sz w:val="16"/>
          <w:szCs w:val="16"/>
          <w:vertAlign w:val="superscript"/>
        </w:rPr>
        <w:t>3</w:t>
      </w:r>
      <w:r w:rsidRPr="00004A23">
        <w:rPr>
          <w:color w:val="595959"/>
          <w:sz w:val="16"/>
          <w:szCs w:val="16"/>
        </w:rPr>
        <w:t xml:space="preserve"> Universidade Federal Do Rio Grande Do Sul – UFRGS</w:t>
      </w:r>
    </w:p>
    <w:p w:rsidR="000B5910" w:rsidRDefault="000B5910">
      <w:pPr>
        <w:sectPr w:rsidR="000B5910">
          <w:headerReference w:type="default" r:id="rId263"/>
          <w:footerReference w:type="default" r:id="rId264"/>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TENDÊNCIA TEMPORAL DE HOSPITALIZAÇÕES E ÓBITOS POR TIREOTOXICOSE NO BRASIL: ANÁLISE NACIONAL DE 2008–2024</w:t>
      </w:r>
    </w:p>
    <w:p w:rsidR="000B5910" w:rsidRPr="00004A23" w:rsidRDefault="00057F5C">
      <w:pPr>
        <w:spacing w:after="40" w:line="252" w:lineRule="auto"/>
        <w:jc w:val="right"/>
        <w:rPr>
          <w:szCs w:val="21"/>
        </w:rPr>
      </w:pPr>
      <w:r w:rsidRPr="00004A23">
        <w:rPr>
          <w:color w:val="1A1A1A"/>
          <w:szCs w:val="21"/>
        </w:rPr>
        <w:t>Vitório Serafim</w:t>
      </w:r>
      <w:r w:rsidRPr="00004A23">
        <w:rPr>
          <w:color w:val="1A1A1A"/>
          <w:szCs w:val="21"/>
          <w:vertAlign w:val="superscript"/>
        </w:rPr>
        <w:t>1</w:t>
      </w:r>
      <w:r w:rsidRPr="00004A23">
        <w:rPr>
          <w:szCs w:val="21"/>
        </w:rPr>
        <w:br/>
      </w:r>
      <w:r w:rsidRPr="00004A23">
        <w:rPr>
          <w:color w:val="1A1A1A"/>
          <w:szCs w:val="21"/>
        </w:rPr>
        <w:t>Carolina Silva Fernandes</w:t>
      </w:r>
      <w:r w:rsidRPr="00004A23">
        <w:rPr>
          <w:color w:val="1A1A1A"/>
          <w:szCs w:val="21"/>
          <w:vertAlign w:val="superscript"/>
        </w:rPr>
        <w:t>1</w:t>
      </w:r>
      <w:r w:rsidRPr="00004A23">
        <w:rPr>
          <w:szCs w:val="21"/>
        </w:rPr>
        <w:br/>
      </w:r>
      <w:r w:rsidRPr="00004A23">
        <w:rPr>
          <w:color w:val="1A1A1A"/>
          <w:szCs w:val="21"/>
        </w:rPr>
        <w:t>Henrique Silva Lovera</w:t>
      </w:r>
      <w:r w:rsidRPr="00004A23">
        <w:rPr>
          <w:color w:val="1A1A1A"/>
          <w:szCs w:val="21"/>
          <w:vertAlign w:val="superscript"/>
        </w:rPr>
        <w:t>1</w:t>
      </w:r>
      <w:r w:rsidRPr="00004A23">
        <w:rPr>
          <w:szCs w:val="21"/>
        </w:rPr>
        <w:br/>
      </w:r>
      <w:r w:rsidRPr="00004A23">
        <w:rPr>
          <w:color w:val="1A1A1A"/>
          <w:szCs w:val="21"/>
        </w:rPr>
        <w:t>Karen Isabel Klein</w:t>
      </w:r>
      <w:r w:rsidRPr="00004A23">
        <w:rPr>
          <w:color w:val="1A1A1A"/>
          <w:szCs w:val="21"/>
          <w:vertAlign w:val="superscript"/>
        </w:rPr>
        <w:t>1</w:t>
      </w:r>
      <w:r w:rsidRPr="00004A23">
        <w:rPr>
          <w:szCs w:val="21"/>
        </w:rPr>
        <w:br/>
      </w:r>
      <w:r w:rsidRPr="00004A23">
        <w:rPr>
          <w:color w:val="1A1A1A"/>
          <w:szCs w:val="21"/>
        </w:rPr>
        <w:t>Thiago Silva Costa Matiolla Bressan</w:t>
      </w:r>
      <w:r w:rsidRPr="00004A23">
        <w:rPr>
          <w:color w:val="1A1A1A"/>
          <w:szCs w:val="21"/>
          <w:vertAlign w:val="superscript"/>
        </w:rPr>
        <w:t>1</w:t>
      </w:r>
      <w:r w:rsidRPr="00004A23">
        <w:rPr>
          <w:szCs w:val="21"/>
        </w:rPr>
        <w:br/>
      </w:r>
      <w:r w:rsidRPr="00004A23">
        <w:rPr>
          <w:color w:val="1A1A1A"/>
          <w:szCs w:val="21"/>
        </w:rPr>
        <w:t>Yasmin Marques Loureiro</w:t>
      </w:r>
      <w:r w:rsidRPr="00004A23">
        <w:rPr>
          <w:color w:val="1A1A1A"/>
          <w:szCs w:val="21"/>
          <w:vertAlign w:val="superscript"/>
        </w:rPr>
        <w:t>1</w:t>
      </w:r>
      <w:r w:rsidRPr="00004A23">
        <w:rPr>
          <w:szCs w:val="21"/>
        </w:rPr>
        <w:br/>
      </w:r>
      <w:r w:rsidRPr="00004A23">
        <w:rPr>
          <w:color w:val="1A1A1A"/>
          <w:szCs w:val="21"/>
        </w:rPr>
        <w:t>Juliana Rosset dos Santos</w:t>
      </w:r>
      <w:r w:rsidRPr="00004A23">
        <w:rPr>
          <w:color w:val="1A1A1A"/>
          <w:szCs w:val="21"/>
          <w:vertAlign w:val="superscript"/>
        </w:rPr>
        <w:t>2</w:t>
      </w:r>
      <w:r w:rsidRPr="00004A23">
        <w:rPr>
          <w:szCs w:val="21"/>
        </w:rPr>
        <w:br/>
      </w:r>
      <w:r w:rsidRPr="00004A23">
        <w:rPr>
          <w:color w:val="1A1A1A"/>
          <w:szCs w:val="21"/>
        </w:rPr>
        <w:t>Clara Figueiredo dos Santos</w:t>
      </w:r>
      <w:r w:rsidRPr="00004A23">
        <w:rPr>
          <w:color w:val="1A1A1A"/>
          <w:szCs w:val="21"/>
          <w:vertAlign w:val="superscript"/>
        </w:rPr>
        <w:t>1</w:t>
      </w:r>
      <w:r w:rsidRPr="00004A23">
        <w:rPr>
          <w:szCs w:val="21"/>
        </w:rPr>
        <w:br/>
      </w:r>
      <w:r w:rsidRPr="00004A23">
        <w:rPr>
          <w:color w:val="1A1A1A"/>
          <w:szCs w:val="21"/>
        </w:rPr>
        <w:t>Rafaela Coelho Pires</w:t>
      </w:r>
      <w:r w:rsidRPr="00004A23">
        <w:rPr>
          <w:color w:val="1A1A1A"/>
          <w:szCs w:val="21"/>
          <w:vertAlign w:val="superscript"/>
        </w:rPr>
        <w:t>1</w:t>
      </w:r>
      <w:r w:rsidRPr="00004A23">
        <w:rPr>
          <w:szCs w:val="21"/>
        </w:rPr>
        <w:br/>
      </w:r>
      <w:r w:rsidRPr="00004A23">
        <w:rPr>
          <w:color w:val="1A1A1A"/>
          <w:szCs w:val="21"/>
        </w:rPr>
        <w:t>Carolina Garcia Soares Leães Rech</w:t>
      </w:r>
      <w:r w:rsidRPr="00004A23">
        <w:rPr>
          <w:color w:val="1A1A1A"/>
          <w:szCs w:val="21"/>
          <w:vertAlign w:val="superscript"/>
        </w:rPr>
        <w:t>3</w:t>
      </w:r>
    </w:p>
    <w:p w:rsidR="000B5910" w:rsidRDefault="00057F5C">
      <w:pPr>
        <w:spacing w:before="200" w:after="100"/>
      </w:pPr>
      <w:r>
        <w:rPr>
          <w:b/>
          <w:color w:val="1A1A1A"/>
          <w:sz w:val="22"/>
          <w:szCs w:val="24"/>
        </w:rPr>
        <w:t>RESUMO</w:t>
      </w:r>
    </w:p>
    <w:p w:rsidR="000B5910" w:rsidRPr="00004A23" w:rsidRDefault="00057F5C">
      <w:pPr>
        <w:spacing w:after="80" w:line="264" w:lineRule="auto"/>
        <w:jc w:val="both"/>
        <w:rPr>
          <w:sz w:val="22"/>
        </w:rPr>
      </w:pPr>
      <w:r w:rsidRPr="00004A23">
        <w:rPr>
          <w:b/>
          <w:color w:val="1A1A1A"/>
          <w:sz w:val="22"/>
        </w:rPr>
        <w:t>Introdução:</w:t>
      </w:r>
      <w:r w:rsidRPr="00004A23">
        <w:rPr>
          <w:color w:val="1A1A1A"/>
          <w:sz w:val="22"/>
        </w:rPr>
        <w:t xml:space="preserve"> A tireotoxicose (TTO) é uma condição potencialmente grave que pode evoluir com descompensações clínicas e necessidade de hospitalização. </w:t>
      </w:r>
      <w:proofErr w:type="gramStart"/>
      <w:r w:rsidRPr="00004A23">
        <w:rPr>
          <w:color w:val="1A1A1A"/>
          <w:sz w:val="22"/>
        </w:rPr>
        <w:t>A</w:t>
      </w:r>
      <w:proofErr w:type="gramEnd"/>
      <w:r w:rsidRPr="00004A23">
        <w:rPr>
          <w:color w:val="1A1A1A"/>
          <w:sz w:val="22"/>
        </w:rPr>
        <w:t xml:space="preserve"> análise epidemiológica detalhada de suas internações e óbitos é essencial para otimizar as políticas públicas de saúde e o manejo de recursos. </w:t>
      </w:r>
      <w:r w:rsidRPr="00004A23">
        <w:rPr>
          <w:b/>
          <w:color w:val="1A1A1A"/>
          <w:sz w:val="22"/>
        </w:rPr>
        <w:t xml:space="preserve">Objetivo: </w:t>
      </w:r>
      <w:r w:rsidRPr="00004A23">
        <w:rPr>
          <w:color w:val="1A1A1A"/>
          <w:sz w:val="22"/>
        </w:rPr>
        <w:t xml:space="preserve">Analisar a tendência temporal e os padrões espaciais da morbimortalidade por TTO no Brasil e em suas macrorregiões de 2008 a 2024. </w:t>
      </w:r>
      <w:r w:rsidRPr="00004A23">
        <w:rPr>
          <w:b/>
          <w:color w:val="1A1A1A"/>
          <w:sz w:val="22"/>
        </w:rPr>
        <w:t>Métodos:</w:t>
      </w:r>
      <w:r w:rsidRPr="00004A23">
        <w:rPr>
          <w:color w:val="1A1A1A"/>
          <w:sz w:val="22"/>
        </w:rPr>
        <w:t xml:space="preserve"> Estudo ecológico de séries temporais com dados do SIH/SUS e SIM (DATASUS) sob o código CID-10 E05. As taxas brutas anuais por 100.000 habitantes foram calculadas via interpolação populacional dos censos do IBGE. Empregou-se regressão log-linear (modelo Joinpoint) para calcular a Variação Percentual Anual (APC) e p-valores (α=0,05). A heterogeneidade espacial foi mensurada avaliando </w:t>
      </w:r>
      <w:proofErr w:type="gramStart"/>
      <w:r w:rsidRPr="00004A23">
        <w:rPr>
          <w:color w:val="1A1A1A"/>
          <w:sz w:val="22"/>
        </w:rPr>
        <w:t>a</w:t>
      </w:r>
      <w:proofErr w:type="gramEnd"/>
      <w:r w:rsidRPr="00004A23">
        <w:rPr>
          <w:color w:val="1A1A1A"/>
          <w:sz w:val="22"/>
        </w:rPr>
        <w:t xml:space="preserve"> autocorrelação espacial pelo índice de Moran global e identificação de clusters locais (LISA). Destaca-se como limitação metodológica o uso de taxas brutas, que podem sofrer influência de mudanças demográficas e envelhecimento populacional ao longo do tempo. </w:t>
      </w:r>
      <w:r w:rsidRPr="00004A23">
        <w:rPr>
          <w:b/>
          <w:color w:val="1A1A1A"/>
          <w:sz w:val="22"/>
        </w:rPr>
        <w:t>Resultados:</w:t>
      </w:r>
      <w:r w:rsidRPr="00004A23">
        <w:rPr>
          <w:color w:val="1A1A1A"/>
          <w:sz w:val="22"/>
        </w:rPr>
        <w:t xml:space="preserve"> De 2008 a 2024, o Brasil registrou 10.213 internações e 3.158 óbitos. Nacionalmente, a </w:t>
      </w:r>
      <w:proofErr w:type="gramStart"/>
      <w:r w:rsidRPr="00004A23">
        <w:rPr>
          <w:color w:val="1A1A1A"/>
          <w:sz w:val="22"/>
        </w:rPr>
        <w:t>taxa</w:t>
      </w:r>
      <w:proofErr w:type="gramEnd"/>
      <w:r w:rsidRPr="00004A23">
        <w:rPr>
          <w:color w:val="1A1A1A"/>
          <w:sz w:val="22"/>
        </w:rPr>
        <w:t xml:space="preserve"> de internação subiu significativamente (APC=+2,45%; p=0,005). </w:t>
      </w:r>
      <w:proofErr w:type="gramStart"/>
      <w:r w:rsidRPr="00004A23">
        <w:rPr>
          <w:color w:val="1A1A1A"/>
          <w:sz w:val="22"/>
        </w:rPr>
        <w:t>A</w:t>
      </w:r>
      <w:proofErr w:type="gramEnd"/>
      <w:r w:rsidRPr="00004A23">
        <w:rPr>
          <w:color w:val="1A1A1A"/>
          <w:sz w:val="22"/>
        </w:rPr>
        <w:t xml:space="preserve"> análise espacial identificou forte dependência territorial com formação de clusters espaciais de altas taxas de hospitalização. O Sudeste liderou o aumento (APC=+3,30%; p=0,002), seguido pelo Nordeste (APC=+2,86%; p=0,012). As regiões Norte (APC=+0,03%; p=0,97), Sul (APC=+1,09%; p=0,09) e Centro-Oeste (APC=-1,45%; p=0,30) permaneceram estáveis. Opondo-se à morbidade, a mortalidade global reduziu de 0,12 para 0,09/100 mil hab. (APC=-1,51%; p=0,009). Intrarregionalmente, a mortalidade apresentou tendências de queda com significância limítrofe no Sul (APC=-2,68%; p=0,058) e Sudeste (APC=-1,29%; p=0,084). Norte (APC=-4,07%), Centro-Oeste (APC=-1,97%) e Nordeste (APC=-0,70%) tiveram quedas não significativas (p&gt;0,05). </w:t>
      </w:r>
      <w:r w:rsidRPr="00004A23">
        <w:rPr>
          <w:b/>
          <w:color w:val="1A1A1A"/>
          <w:sz w:val="22"/>
        </w:rPr>
        <w:t>Conclusão:</w:t>
      </w:r>
      <w:r w:rsidRPr="00004A23">
        <w:rPr>
          <w:color w:val="1A1A1A"/>
          <w:sz w:val="22"/>
        </w:rPr>
        <w:t xml:space="preserve"> O Brasil apresenta um cenário clínico divergente: enquanto a mortalidade declina gradativamente, as hospitalizações estão em expansão, consolidando clusters espaciais de altas taxas de hospitalização no Sudeste e Nordeste. Esse padrão pode refletir mudanças no perfil epidemiológico da doença ou no padrão de hospitalização, devendo ser explorado em estudos adicionais.</w:t>
      </w:r>
    </w:p>
    <w:p w:rsidR="000B5910" w:rsidRDefault="000B5910">
      <w:pPr>
        <w:pBdr>
          <w:bottom w:val="single" w:sz="4" w:space="2" w:color="808080"/>
        </w:pBdr>
        <w:spacing w:before="12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Federal de Ciências da Saúde de Porto Alegre</w:t>
      </w:r>
    </w:p>
    <w:p w:rsidR="000B5910" w:rsidRPr="00004A23" w:rsidRDefault="00057F5C">
      <w:pPr>
        <w:spacing w:after="0" w:line="252" w:lineRule="auto"/>
        <w:rPr>
          <w:sz w:val="16"/>
          <w:szCs w:val="16"/>
        </w:rPr>
      </w:pPr>
      <w:r w:rsidRPr="00004A23">
        <w:rPr>
          <w:color w:val="595959"/>
          <w:sz w:val="16"/>
          <w:szCs w:val="16"/>
          <w:vertAlign w:val="superscript"/>
        </w:rPr>
        <w:t>2</w:t>
      </w:r>
      <w:r w:rsidRPr="00004A23">
        <w:rPr>
          <w:color w:val="595959"/>
          <w:sz w:val="16"/>
          <w:szCs w:val="16"/>
        </w:rPr>
        <w:t xml:space="preserve"> Universidade Federal do Rio Grande do Sul</w:t>
      </w:r>
    </w:p>
    <w:p w:rsidR="000B5910" w:rsidRPr="00004A23" w:rsidRDefault="00057F5C">
      <w:pPr>
        <w:spacing w:after="0" w:line="252" w:lineRule="auto"/>
        <w:rPr>
          <w:sz w:val="16"/>
          <w:szCs w:val="16"/>
        </w:rPr>
      </w:pPr>
      <w:r w:rsidRPr="00004A23">
        <w:rPr>
          <w:color w:val="595959"/>
          <w:sz w:val="16"/>
          <w:szCs w:val="16"/>
          <w:vertAlign w:val="superscript"/>
        </w:rPr>
        <w:t>3</w:t>
      </w:r>
      <w:r w:rsidRPr="00004A23">
        <w:rPr>
          <w:color w:val="595959"/>
          <w:sz w:val="16"/>
          <w:szCs w:val="16"/>
        </w:rPr>
        <w:t xml:space="preserve"> Santa Casa de Misericórdia de Porto Alegre</w:t>
      </w:r>
    </w:p>
    <w:p w:rsidR="000B5910" w:rsidRDefault="000B5910">
      <w:pPr>
        <w:sectPr w:rsidR="000B5910">
          <w:headerReference w:type="default" r:id="rId265"/>
          <w:footerReference w:type="default" r:id="rId26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TRATAMENTO DO CÂNCER DIFERENCIADO DE TIREOIDE REFRATÁRIO AO RADIOIODO COM INIBIDORES MULTIQUINASE: DESFECHOS DE MUNDO REAL EM CENTRO TERCIÁRIO</w:t>
      </w:r>
    </w:p>
    <w:p w:rsidR="000B5910" w:rsidRPr="00004A23" w:rsidRDefault="00057F5C">
      <w:pPr>
        <w:spacing w:after="40" w:line="252" w:lineRule="auto"/>
        <w:jc w:val="right"/>
        <w:rPr>
          <w:szCs w:val="21"/>
        </w:rPr>
      </w:pPr>
      <w:r w:rsidRPr="00004A23">
        <w:rPr>
          <w:color w:val="1A1A1A"/>
          <w:szCs w:val="21"/>
        </w:rPr>
        <w:t>Rafaela Zell</w:t>
      </w:r>
      <w:r w:rsidRPr="00004A23">
        <w:rPr>
          <w:color w:val="1A1A1A"/>
          <w:szCs w:val="21"/>
          <w:vertAlign w:val="superscript"/>
        </w:rPr>
        <w:t>1</w:t>
      </w:r>
      <w:r w:rsidRPr="00004A23">
        <w:rPr>
          <w:szCs w:val="21"/>
        </w:rPr>
        <w:br/>
      </w:r>
      <w:r w:rsidRPr="00004A23">
        <w:rPr>
          <w:color w:val="1A1A1A"/>
          <w:szCs w:val="21"/>
        </w:rPr>
        <w:t>Leonardo Barbi Walter</w:t>
      </w:r>
      <w:r w:rsidRPr="00004A23">
        <w:rPr>
          <w:color w:val="1A1A1A"/>
          <w:szCs w:val="21"/>
          <w:vertAlign w:val="superscript"/>
        </w:rPr>
        <w:t>1</w:t>
      </w:r>
      <w:r w:rsidRPr="00004A23">
        <w:rPr>
          <w:szCs w:val="21"/>
        </w:rPr>
        <w:br/>
      </w:r>
      <w:r w:rsidRPr="00004A23">
        <w:rPr>
          <w:color w:val="1A1A1A"/>
          <w:szCs w:val="21"/>
        </w:rPr>
        <w:t>Rafael Selbach Scheffel</w:t>
      </w:r>
      <w:r w:rsidRPr="00004A23">
        <w:rPr>
          <w:color w:val="1A1A1A"/>
          <w:szCs w:val="21"/>
          <w:vertAlign w:val="superscript"/>
        </w:rPr>
        <w:t>1</w:t>
      </w:r>
      <w:r w:rsidRPr="00004A23">
        <w:rPr>
          <w:szCs w:val="21"/>
        </w:rPr>
        <w:br/>
      </w:r>
      <w:r w:rsidRPr="00004A23">
        <w:rPr>
          <w:color w:val="1A1A1A"/>
          <w:szCs w:val="21"/>
        </w:rPr>
        <w:t>Iuri Goemann</w:t>
      </w:r>
      <w:r w:rsidRPr="00004A23">
        <w:rPr>
          <w:color w:val="1A1A1A"/>
          <w:szCs w:val="21"/>
          <w:vertAlign w:val="superscript"/>
        </w:rPr>
        <w:t>1</w:t>
      </w:r>
      <w:r w:rsidRPr="00004A23">
        <w:rPr>
          <w:szCs w:val="21"/>
        </w:rPr>
        <w:br/>
      </w:r>
      <w:r w:rsidRPr="00004A23">
        <w:rPr>
          <w:color w:val="1A1A1A"/>
          <w:szCs w:val="21"/>
        </w:rPr>
        <w:t>José Miguel Dora</w:t>
      </w:r>
      <w:r w:rsidRPr="00004A23">
        <w:rPr>
          <w:color w:val="1A1A1A"/>
          <w:szCs w:val="21"/>
          <w:vertAlign w:val="superscript"/>
        </w:rPr>
        <w:t>1</w:t>
      </w:r>
      <w:r w:rsidRPr="00004A23">
        <w:rPr>
          <w:szCs w:val="21"/>
        </w:rPr>
        <w:br/>
      </w:r>
      <w:r w:rsidRPr="00004A23">
        <w:rPr>
          <w:color w:val="1A1A1A"/>
          <w:szCs w:val="21"/>
        </w:rPr>
        <w:t>Ana Luiza Maia</w:t>
      </w:r>
      <w:r w:rsidRPr="00004A23">
        <w:rPr>
          <w:color w:val="1A1A1A"/>
          <w:szCs w:val="21"/>
          <w:vertAlign w:val="superscript"/>
        </w:rPr>
        <w:t>1</w:t>
      </w:r>
      <w:r w:rsidRPr="00004A23">
        <w:rPr>
          <w:szCs w:val="21"/>
        </w:rPr>
        <w:br/>
      </w:r>
      <w:r w:rsidRPr="00004A23">
        <w:rPr>
          <w:color w:val="1A1A1A"/>
          <w:szCs w:val="21"/>
        </w:rPr>
        <w:t>André Borsatto Zanella</w:t>
      </w:r>
      <w:r w:rsidRPr="00004A23">
        <w:rPr>
          <w:color w:val="1A1A1A"/>
          <w:szCs w:val="21"/>
          <w:vertAlign w:val="superscript"/>
        </w:rPr>
        <w:t>1</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 xml:space="preserve">Introdução: </w:t>
      </w:r>
      <w:r w:rsidRPr="00004A23">
        <w:rPr>
          <w:color w:val="1A1A1A"/>
          <w:sz w:val="22"/>
        </w:rPr>
        <w:t xml:space="preserve">O câncer diferenciado de tireoide refratário ao radioiodo (CDT-RR) está associado à progressão tumoral e </w:t>
      </w:r>
      <w:proofErr w:type="gramStart"/>
      <w:r w:rsidRPr="00004A23">
        <w:rPr>
          <w:color w:val="1A1A1A"/>
          <w:sz w:val="22"/>
        </w:rPr>
        <w:t>a</w:t>
      </w:r>
      <w:proofErr w:type="gramEnd"/>
      <w:r w:rsidRPr="00004A23">
        <w:rPr>
          <w:color w:val="1A1A1A"/>
          <w:sz w:val="22"/>
        </w:rPr>
        <w:t xml:space="preserve"> opções terapêuticas limitadas. Embora inibidores multiquinase (multikinase inhibitors, MKIs) demonstrem melhora na sobrevida livre de progressão em ensaios clínicos, dados de mundo real são essenciais para melhor caracterizar sua efetividade e segurança. </w:t>
      </w:r>
      <w:r w:rsidRPr="00004A23">
        <w:rPr>
          <w:b/>
          <w:color w:val="1A1A1A"/>
          <w:sz w:val="22"/>
        </w:rPr>
        <w:t>Objetivo:</w:t>
      </w:r>
      <w:r w:rsidRPr="00004A23">
        <w:rPr>
          <w:color w:val="1A1A1A"/>
          <w:sz w:val="22"/>
        </w:rPr>
        <w:t xml:space="preserve"> Avaliar a efetividade e segurança, bem como descrever os desfechos clínicos de pacientes com CDT-RR tratados com MKIs em um centro de referência. </w:t>
      </w:r>
      <w:r w:rsidRPr="00004A23">
        <w:rPr>
          <w:b/>
          <w:color w:val="1A1A1A"/>
          <w:sz w:val="22"/>
        </w:rPr>
        <w:t>Métodos:</w:t>
      </w:r>
      <w:r w:rsidRPr="00004A23">
        <w:rPr>
          <w:color w:val="1A1A1A"/>
          <w:sz w:val="22"/>
        </w:rPr>
        <w:t xml:space="preserve"> Estudo retrospectivo de pacientes com CDT-RR tratados com MKIs entre 2015 e 2024. </w:t>
      </w:r>
      <w:proofErr w:type="gramStart"/>
      <w:r w:rsidRPr="00004A23">
        <w:rPr>
          <w:color w:val="1A1A1A"/>
          <w:sz w:val="22"/>
        </w:rPr>
        <w:t>A</w:t>
      </w:r>
      <w:proofErr w:type="gramEnd"/>
      <w:r w:rsidRPr="00004A23">
        <w:rPr>
          <w:color w:val="1A1A1A"/>
          <w:sz w:val="22"/>
        </w:rPr>
        <w:t xml:space="preserve"> indicação de terapia sistêmica baseou-se na presença de progressão estrutural, sintomas relacionados à doença ou carga tumoral significativa. A resposta ao tratamento foi avaliada conforme RECIST 1.1 em exames de imagem seriados. A sobrevida global foi estimada pelo método de Kaplan-Meier, considerando o tempo desde o início do tratamento até o óbito ou última avaliação. </w:t>
      </w:r>
      <w:r w:rsidRPr="00004A23">
        <w:rPr>
          <w:b/>
          <w:color w:val="1A1A1A"/>
          <w:sz w:val="22"/>
        </w:rPr>
        <w:t>Resultados</w:t>
      </w:r>
      <w:r w:rsidRPr="00004A23">
        <w:rPr>
          <w:color w:val="1A1A1A"/>
          <w:sz w:val="22"/>
        </w:rPr>
        <w:t xml:space="preserve">: A amostra incluiu 27 pacientes, com predominância do sexo feminino (n=17; 63%) e de carcinoma papilífero (n=14; 52%). </w:t>
      </w:r>
      <w:proofErr w:type="gramStart"/>
      <w:r w:rsidRPr="00004A23">
        <w:rPr>
          <w:color w:val="1A1A1A"/>
          <w:sz w:val="22"/>
        </w:rPr>
        <w:t>A</w:t>
      </w:r>
      <w:proofErr w:type="gramEnd"/>
      <w:r w:rsidRPr="00004A23">
        <w:rPr>
          <w:color w:val="1A1A1A"/>
          <w:sz w:val="22"/>
        </w:rPr>
        <w:t xml:space="preserve"> idade média ao diagnóstico foi de 58,1 ± 10,3 anos. O sorafenibe foi a terapia inicial em 24 pacientes (89%) e o lenvatinibe em 3 (11%). O intervalo mediano entre indicação e início do tratamento foi de 3 meses. Eventos adversos (EAs) ocorreram em todos os pacientes, com necessidade de redução de dose em 19 (70%), em tempo mediano de 2 meses. A melhor resposta objetiva à primeira linha foi resposta parcial em 1 paciente (4%), doença estável em 10 (41%) e doença progressiva em 13 (55%). Segunda linha foi instituída em 9 pacientes (33%), predominantemente com lenvatinibe (n=8). O status de sobrevida estava disponível para 24 pacientes: 16 (67%) haviam falecido e 8 (33%) estavam vivos no último seguimento. A sobrevida global mediana foi de 49 meses (IC95% 27,3 a 70,7). Entre os pacientes inicialmente tratados com sorafenibe, 17 (72%) descontinuaram o tratamento, sendo 9 por toxicidade e 8 por progressão de doença. </w:t>
      </w:r>
      <w:r w:rsidRPr="00004A23">
        <w:rPr>
          <w:b/>
          <w:color w:val="1A1A1A"/>
          <w:sz w:val="22"/>
        </w:rPr>
        <w:t>Conclusão:</w:t>
      </w:r>
      <w:r w:rsidRPr="00004A23">
        <w:rPr>
          <w:color w:val="1A1A1A"/>
          <w:sz w:val="22"/>
        </w:rPr>
        <w:t xml:space="preserve"> Em cenário de mundo real, o tratamento do CDT-RR com MKIs esteve associado à elevada frequência de EAs, necessidade frequente de ajustes de dose e descontinuação terapêutica, além de alta mortalidade ao longo do seguimento, evidenciando a complexidade do manejo desses pacientes na prática clínica.</w:t>
      </w:r>
    </w:p>
    <w:p w:rsidR="000B5910" w:rsidRDefault="000B5910">
      <w:pPr>
        <w:pBdr>
          <w:bottom w:val="single" w:sz="4" w:space="2" w:color="808080"/>
        </w:pBdr>
        <w:spacing w:before="16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Unidade de Tireoide, Hospital de Clínicas de Porto Alegre, Porto Alegre, Brasil</w:t>
      </w:r>
    </w:p>
    <w:p w:rsidR="000B5910" w:rsidRDefault="000B5910">
      <w:pPr>
        <w:sectPr w:rsidR="000B5910">
          <w:headerReference w:type="default" r:id="rId267"/>
          <w:footerReference w:type="default" r:id="rId26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ALÉM DO TSH: SENSIBILIDADE CENTRAL AO HORMÔNIO TIREOIDIANO COMO MARCADOR OCULTO DE DOENÇA HEPÁTICA GORDUROSA EM EUTIREOIDEOS — UMA REVISÃO SISTEMÁTICA</w:t>
      </w:r>
    </w:p>
    <w:p w:rsidR="000B5910" w:rsidRPr="00004A23" w:rsidRDefault="00057F5C">
      <w:pPr>
        <w:spacing w:after="40" w:line="252" w:lineRule="auto"/>
        <w:jc w:val="right"/>
        <w:rPr>
          <w:szCs w:val="21"/>
        </w:rPr>
      </w:pPr>
      <w:r w:rsidRPr="00004A23">
        <w:rPr>
          <w:color w:val="1A1A1A"/>
          <w:szCs w:val="21"/>
        </w:rPr>
        <w:t>Julia Crestana Rangel</w:t>
      </w:r>
      <w:r w:rsidRPr="00004A23">
        <w:rPr>
          <w:color w:val="1A1A1A"/>
          <w:szCs w:val="21"/>
          <w:vertAlign w:val="superscript"/>
        </w:rPr>
        <w:t>1</w:t>
      </w:r>
      <w:r w:rsidRPr="00004A23">
        <w:rPr>
          <w:szCs w:val="21"/>
        </w:rPr>
        <w:br/>
      </w:r>
      <w:r w:rsidRPr="00004A23">
        <w:rPr>
          <w:color w:val="1A1A1A"/>
          <w:szCs w:val="21"/>
        </w:rPr>
        <w:t>Isabela Hoffmeister Piltcher</w:t>
      </w:r>
      <w:r w:rsidRPr="00004A23">
        <w:rPr>
          <w:color w:val="1A1A1A"/>
          <w:szCs w:val="21"/>
          <w:vertAlign w:val="superscript"/>
        </w:rPr>
        <w:t>1</w:t>
      </w:r>
      <w:r w:rsidRPr="00004A23">
        <w:rPr>
          <w:szCs w:val="21"/>
        </w:rPr>
        <w:br/>
      </w:r>
      <w:r w:rsidRPr="00004A23">
        <w:rPr>
          <w:color w:val="1A1A1A"/>
          <w:szCs w:val="21"/>
        </w:rPr>
        <w:t>Fernanda Dutra Cerutti</w:t>
      </w:r>
      <w:r w:rsidRPr="00004A23">
        <w:rPr>
          <w:color w:val="1A1A1A"/>
          <w:szCs w:val="21"/>
          <w:vertAlign w:val="superscript"/>
        </w:rPr>
        <w:t>1</w:t>
      </w:r>
      <w:r w:rsidRPr="00004A23">
        <w:rPr>
          <w:szCs w:val="21"/>
        </w:rPr>
        <w:br/>
      </w:r>
      <w:r w:rsidRPr="00004A23">
        <w:rPr>
          <w:color w:val="1A1A1A"/>
          <w:szCs w:val="21"/>
        </w:rPr>
        <w:t>Geórgia de Carvalho Cunha</w:t>
      </w:r>
      <w:r w:rsidRPr="00004A23">
        <w:rPr>
          <w:color w:val="1A1A1A"/>
          <w:szCs w:val="21"/>
          <w:vertAlign w:val="superscript"/>
        </w:rPr>
        <w:t>1</w:t>
      </w:r>
      <w:r w:rsidRPr="00004A23">
        <w:rPr>
          <w:szCs w:val="21"/>
        </w:rPr>
        <w:br/>
      </w:r>
      <w:r w:rsidRPr="00004A23">
        <w:rPr>
          <w:color w:val="1A1A1A"/>
          <w:szCs w:val="21"/>
        </w:rPr>
        <w:t>Helena Murillo Boesche</w:t>
      </w:r>
      <w:r w:rsidRPr="00004A23">
        <w:rPr>
          <w:color w:val="1A1A1A"/>
          <w:szCs w:val="21"/>
          <w:vertAlign w:val="superscript"/>
        </w:rPr>
        <w:t>1</w:t>
      </w:r>
      <w:r w:rsidRPr="00004A23">
        <w:rPr>
          <w:szCs w:val="21"/>
        </w:rPr>
        <w:br/>
      </w:r>
      <w:r w:rsidRPr="00004A23">
        <w:rPr>
          <w:color w:val="1A1A1A"/>
          <w:szCs w:val="21"/>
        </w:rPr>
        <w:t>Isabela Velho de Quadros</w:t>
      </w:r>
      <w:r w:rsidRPr="00004A23">
        <w:rPr>
          <w:color w:val="1A1A1A"/>
          <w:szCs w:val="21"/>
          <w:vertAlign w:val="superscript"/>
        </w:rPr>
        <w:t>1</w:t>
      </w:r>
      <w:r w:rsidRPr="00004A23">
        <w:rPr>
          <w:szCs w:val="21"/>
        </w:rPr>
        <w:br/>
      </w:r>
      <w:r w:rsidRPr="00004A23">
        <w:rPr>
          <w:color w:val="1A1A1A"/>
          <w:szCs w:val="21"/>
        </w:rPr>
        <w:t>Antônia Beltrão Lança</w:t>
      </w:r>
      <w:r w:rsidRPr="00004A23">
        <w:rPr>
          <w:color w:val="1A1A1A"/>
          <w:szCs w:val="21"/>
          <w:vertAlign w:val="superscript"/>
        </w:rPr>
        <w:t>1</w:t>
      </w:r>
      <w:r w:rsidRPr="00004A23">
        <w:rPr>
          <w:szCs w:val="21"/>
        </w:rPr>
        <w:br/>
      </w:r>
      <w:r w:rsidRPr="00004A23">
        <w:rPr>
          <w:color w:val="1A1A1A"/>
          <w:szCs w:val="21"/>
        </w:rPr>
        <w:t>Marina Suzin Mantovani</w:t>
      </w:r>
      <w:r w:rsidRPr="00004A23">
        <w:rPr>
          <w:color w:val="1A1A1A"/>
          <w:szCs w:val="21"/>
          <w:vertAlign w:val="superscript"/>
        </w:rPr>
        <w:t>1</w:t>
      </w:r>
      <w:r w:rsidRPr="00004A23">
        <w:rPr>
          <w:szCs w:val="21"/>
        </w:rPr>
        <w:br/>
      </w:r>
      <w:r w:rsidRPr="00004A23">
        <w:rPr>
          <w:color w:val="1A1A1A"/>
          <w:szCs w:val="21"/>
        </w:rPr>
        <w:t>Manuela Minetto Araújo</w:t>
      </w:r>
      <w:r w:rsidRPr="00004A23">
        <w:rPr>
          <w:color w:val="1A1A1A"/>
          <w:szCs w:val="21"/>
          <w:vertAlign w:val="superscript"/>
        </w:rPr>
        <w:t>1</w:t>
      </w:r>
    </w:p>
    <w:p w:rsidR="000B5910" w:rsidRDefault="00057F5C">
      <w:pPr>
        <w:spacing w:before="200" w:after="100"/>
        <w:rPr>
          <w:sz w:val="22"/>
          <w:szCs w:val="24"/>
        </w:rPr>
      </w:pPr>
      <w:r>
        <w:rPr>
          <w:b/>
          <w:color w:val="1A1A1A"/>
          <w:sz w:val="22"/>
          <w:szCs w:val="24"/>
        </w:rPr>
        <w:t>RESUMO</w:t>
      </w:r>
    </w:p>
    <w:p w:rsidR="000B5910" w:rsidRPr="00004A23" w:rsidRDefault="00057F5C">
      <w:pPr>
        <w:spacing w:after="80" w:line="264" w:lineRule="auto"/>
        <w:jc w:val="both"/>
        <w:rPr>
          <w:sz w:val="22"/>
        </w:rPr>
      </w:pPr>
      <w:r w:rsidRPr="00004A23">
        <w:rPr>
          <w:b/>
          <w:color w:val="1A1A1A"/>
          <w:sz w:val="22"/>
        </w:rPr>
        <w:t xml:space="preserve">Introdução: </w:t>
      </w:r>
      <w:r w:rsidRPr="00004A23">
        <w:rPr>
          <w:color w:val="1A1A1A"/>
          <w:sz w:val="22"/>
        </w:rPr>
        <w:t xml:space="preserve">Os hormônios tireoidianos desempenham papel central no metabolismo lipídico hepático relacionado à doença hepática gordurosa (NAFLD/MASLD). Entretanto, em indivíduos eutireoideos, </w:t>
      </w:r>
      <w:proofErr w:type="gramStart"/>
      <w:r w:rsidRPr="00004A23">
        <w:rPr>
          <w:color w:val="1A1A1A"/>
          <w:sz w:val="22"/>
        </w:rPr>
        <w:t>a</w:t>
      </w:r>
      <w:proofErr w:type="gramEnd"/>
      <w:r w:rsidRPr="00004A23">
        <w:rPr>
          <w:color w:val="1A1A1A"/>
          <w:sz w:val="22"/>
        </w:rPr>
        <w:t xml:space="preserve"> avaliação isolada de TSH, FT3 e FT4 apresenta resultados inconsistentes na identificação de risco metabólico. Nesse contexto, índices integrados, como o Thyroid Feedback Quantile-based Index (TFQI), foram propostos para estimar a sensibilidade central ao hormônio tireoidiano, e evidências recentes sugerem que valores elevados desses índices associam-se a maior risco de MASLD. </w:t>
      </w:r>
      <w:r w:rsidRPr="00004A23">
        <w:rPr>
          <w:b/>
          <w:color w:val="1A1A1A"/>
          <w:sz w:val="22"/>
        </w:rPr>
        <w:t>Objetivo</w:t>
      </w:r>
      <w:r w:rsidRPr="00004A23">
        <w:rPr>
          <w:color w:val="1A1A1A"/>
          <w:sz w:val="22"/>
        </w:rPr>
        <w:t xml:space="preserve">: Avaliar a associação entre índices de sensibilidade central ao hormônio tireoidiano (TFQI e correlatos) e doença hepática gordurosa metabólica (MASLD/NAFLD) em adultos eutireoideos. </w:t>
      </w:r>
      <w:r w:rsidRPr="00004A23">
        <w:rPr>
          <w:b/>
          <w:color w:val="1A1A1A"/>
          <w:sz w:val="22"/>
        </w:rPr>
        <w:t>Métodos:</w:t>
      </w:r>
      <w:r w:rsidRPr="00004A23">
        <w:rPr>
          <w:color w:val="1A1A1A"/>
          <w:sz w:val="22"/>
        </w:rPr>
        <w:t xml:space="preserve"> Revisão sistemática nas bases PubMed e Scopus, incluindo estudos observacionais desde 2018. Utilizaram-se os descritores “TFQI”, “PTFQI”, “TT4RI” e termos relacionados a NAFLD/MASLD. Incluíram-se estudos em adultos eutireoideos que avaliaram </w:t>
      </w:r>
      <w:proofErr w:type="gramStart"/>
      <w:r w:rsidRPr="00004A23">
        <w:rPr>
          <w:color w:val="1A1A1A"/>
          <w:sz w:val="22"/>
        </w:rPr>
        <w:t>a</w:t>
      </w:r>
      <w:proofErr w:type="gramEnd"/>
      <w:r w:rsidRPr="00004A23">
        <w:rPr>
          <w:color w:val="1A1A1A"/>
          <w:sz w:val="22"/>
        </w:rPr>
        <w:t xml:space="preserve"> associação entre esses índices e esteatose hepática. Excluíram-se disfunção tireoidiana manifesta, população pediátrica, modelos experimentais e revisões de literatura. </w:t>
      </w:r>
      <w:r w:rsidRPr="00004A23">
        <w:rPr>
          <w:b/>
          <w:color w:val="1A1A1A"/>
          <w:sz w:val="22"/>
        </w:rPr>
        <w:t>Resultados</w:t>
      </w:r>
      <w:r w:rsidRPr="00004A23">
        <w:rPr>
          <w:color w:val="1A1A1A"/>
          <w:sz w:val="22"/>
        </w:rPr>
        <w:t xml:space="preserve">: Foram incluídos 7 estudos observacionais, totalizando 77.918 participantes. O diagnóstico de NAFLD/MASLD foi realizado predominantemente por ultrassonografia hepática, com um estudo utilizando biópsia. Os trabalhos avaliaram concentrações de TSH, FT3, FT4 e a razão FT3/FT4, além de índices de sensibilidade central aos hormônios tireoidianos, incluindo TFQI, TSHI e TT4RI. Seis dos sete estudos (≈86%) demonstraram associação entre maiores índices de sensibilidade central ao hormônio tireoidiano e maior prevalência de NAFLD/MASLD em indivíduos eutireoideos, com odds ratios variando predominantemente entre 1,2 e 1,8. Em parte dos estudos, elevações na razão FT3/FT4 e em alguns índices de sensibilidade central, como TFQI e TSHI, também se associaram a maior gravidade da doença hepática, incluindo maior infiltração gordurosa, progressão da esteatose e maior risco de fibrose. </w:t>
      </w:r>
      <w:r w:rsidRPr="00004A23">
        <w:rPr>
          <w:b/>
          <w:color w:val="1A1A1A"/>
          <w:sz w:val="22"/>
        </w:rPr>
        <w:t>Conclusão:</w:t>
      </w:r>
      <w:r w:rsidRPr="00004A23">
        <w:rPr>
          <w:color w:val="1A1A1A"/>
          <w:sz w:val="22"/>
        </w:rPr>
        <w:t xml:space="preserve"> Alterações na sensibilidade aos hormônios tireoidianos associam-se à NAFLD/MASLD e à sua progressão, sugerindo que índices centrais podem auxiliar na identificação precoce de indivíduos em maior risco. Esses achados reforçam o papel do eixo tireoidiano na fisiopatologia da doença, podendo contribuir para rastreamento e estratificação de risco de uma condição de crescente impacto global.</w:t>
      </w:r>
    </w:p>
    <w:p w:rsidR="000B5910" w:rsidRDefault="000B5910">
      <w:pPr>
        <w:pBdr>
          <w:bottom w:val="single" w:sz="4" w:space="2" w:color="808080"/>
        </w:pBdr>
        <w:spacing w:before="12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Pontifícia Universidade Católica do Rio Grande do Sul</w:t>
      </w:r>
    </w:p>
    <w:p w:rsidR="000B5910" w:rsidRDefault="000B5910">
      <w:pPr>
        <w:sectPr w:rsidR="000B5910">
          <w:headerReference w:type="default" r:id="rId269"/>
          <w:footerReference w:type="default" r:id="rId27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OBSERVAÇÃO OU CIRURGIA: UMA NOVA FERRAMENTA VALIDADA PARA LESÕES DA TIREOIDE</w:t>
      </w:r>
    </w:p>
    <w:p w:rsidR="000B5910" w:rsidRPr="00004A23" w:rsidRDefault="00057F5C">
      <w:pPr>
        <w:spacing w:after="40" w:line="252" w:lineRule="auto"/>
        <w:jc w:val="right"/>
        <w:rPr>
          <w:szCs w:val="21"/>
        </w:rPr>
      </w:pPr>
      <w:r w:rsidRPr="00004A23">
        <w:rPr>
          <w:color w:val="1A1A1A"/>
          <w:szCs w:val="21"/>
        </w:rPr>
        <w:t>Laura Randon Chapochnicoff</w:t>
      </w:r>
      <w:r w:rsidRPr="00004A23">
        <w:rPr>
          <w:color w:val="1A1A1A"/>
          <w:szCs w:val="21"/>
          <w:vertAlign w:val="superscript"/>
        </w:rPr>
        <w:t>1</w:t>
      </w:r>
      <w:r w:rsidRPr="00004A23">
        <w:rPr>
          <w:szCs w:val="21"/>
        </w:rPr>
        <w:br/>
      </w:r>
      <w:r w:rsidRPr="00004A23">
        <w:rPr>
          <w:color w:val="1A1A1A"/>
          <w:szCs w:val="21"/>
        </w:rPr>
        <w:t>Gregory W. Randolph</w:t>
      </w:r>
      <w:r w:rsidRPr="00004A23">
        <w:rPr>
          <w:color w:val="1A1A1A"/>
          <w:szCs w:val="21"/>
          <w:vertAlign w:val="superscript"/>
        </w:rPr>
        <w:t>2</w:t>
      </w:r>
      <w:r w:rsidRPr="00004A23">
        <w:rPr>
          <w:szCs w:val="21"/>
        </w:rPr>
        <w:br/>
      </w:r>
      <w:r w:rsidRPr="00004A23">
        <w:rPr>
          <w:color w:val="1A1A1A"/>
          <w:szCs w:val="21"/>
        </w:rPr>
        <w:t>Selena K. Zhang</w:t>
      </w:r>
      <w:r w:rsidRPr="00004A23">
        <w:rPr>
          <w:color w:val="1A1A1A"/>
          <w:szCs w:val="21"/>
          <w:vertAlign w:val="superscript"/>
        </w:rPr>
        <w:t>2</w:t>
      </w:r>
      <w:r w:rsidRPr="00004A23">
        <w:rPr>
          <w:szCs w:val="21"/>
        </w:rPr>
        <w:br/>
      </w:r>
      <w:r w:rsidRPr="00004A23">
        <w:rPr>
          <w:color w:val="1A1A1A"/>
          <w:szCs w:val="21"/>
        </w:rPr>
        <w:t>Marika Russel</w:t>
      </w:r>
      <w:r w:rsidRPr="00004A23">
        <w:rPr>
          <w:color w:val="1A1A1A"/>
          <w:szCs w:val="21"/>
          <w:vertAlign w:val="superscript"/>
        </w:rPr>
        <w:t>2</w:t>
      </w:r>
      <w:r w:rsidRPr="00004A23">
        <w:rPr>
          <w:szCs w:val="21"/>
        </w:rPr>
        <w:br/>
      </w:r>
      <w:r w:rsidRPr="00004A23">
        <w:rPr>
          <w:color w:val="1A1A1A"/>
          <w:szCs w:val="21"/>
        </w:rPr>
        <w:t>Ayako Stanlie</w:t>
      </w:r>
      <w:r w:rsidRPr="00004A23">
        <w:rPr>
          <w:color w:val="1A1A1A"/>
          <w:szCs w:val="21"/>
          <w:vertAlign w:val="superscript"/>
        </w:rPr>
        <w:t>3</w:t>
      </w:r>
      <w:r w:rsidRPr="00004A23">
        <w:rPr>
          <w:szCs w:val="21"/>
        </w:rPr>
        <w:br/>
      </w:r>
      <w:r w:rsidRPr="00004A23">
        <w:rPr>
          <w:color w:val="1A1A1A"/>
          <w:szCs w:val="21"/>
        </w:rPr>
        <w:t>Amr H. Abdelhamid Ahmed</w:t>
      </w:r>
      <w:r w:rsidRPr="00004A23">
        <w:rPr>
          <w:color w:val="1A1A1A"/>
          <w:szCs w:val="21"/>
          <w:vertAlign w:val="superscript"/>
        </w:rPr>
        <w:t>2</w:t>
      </w:r>
      <w:r w:rsidRPr="00004A23">
        <w:rPr>
          <w:szCs w:val="21"/>
        </w:rPr>
        <w:br/>
      </w:r>
      <w:r w:rsidRPr="00004A23">
        <w:rPr>
          <w:color w:val="1A1A1A"/>
          <w:szCs w:val="21"/>
        </w:rPr>
        <w:t>Sana Alkhatib</w:t>
      </w:r>
      <w:r w:rsidRPr="00004A23">
        <w:rPr>
          <w:color w:val="1A1A1A"/>
          <w:szCs w:val="21"/>
          <w:vertAlign w:val="superscript"/>
        </w:rPr>
        <w:t>4</w:t>
      </w:r>
      <w:r w:rsidRPr="00004A23">
        <w:rPr>
          <w:szCs w:val="21"/>
        </w:rPr>
        <w:br/>
      </w:r>
      <w:r w:rsidRPr="00004A23">
        <w:rPr>
          <w:color w:val="1A1A1A"/>
          <w:szCs w:val="21"/>
        </w:rPr>
        <w:t>Jennifer J. Shin</w:t>
      </w:r>
      <w:r w:rsidRPr="00004A23">
        <w:rPr>
          <w:color w:val="1A1A1A"/>
          <w:szCs w:val="21"/>
          <w:vertAlign w:val="superscript"/>
        </w:rPr>
        <w:t>5</w:t>
      </w:r>
    </w:p>
    <w:p w:rsidR="000B5910" w:rsidRDefault="00057F5C">
      <w:pPr>
        <w:spacing w:before="200" w:after="100"/>
        <w:rPr>
          <w:sz w:val="22"/>
          <w:szCs w:val="24"/>
        </w:rPr>
      </w:pPr>
      <w:r>
        <w:rPr>
          <w:b/>
          <w:color w:val="1A1A1A"/>
          <w:sz w:val="22"/>
          <w:szCs w:val="24"/>
        </w:rPr>
        <w:t>RESUMO</w:t>
      </w:r>
    </w:p>
    <w:p w:rsidR="000B5910" w:rsidRPr="00004A23" w:rsidRDefault="00057F5C">
      <w:pPr>
        <w:spacing w:after="80" w:line="264" w:lineRule="auto"/>
        <w:jc w:val="both"/>
        <w:rPr>
          <w:sz w:val="22"/>
        </w:rPr>
      </w:pPr>
      <w:r w:rsidRPr="00004A23">
        <w:rPr>
          <w:b/>
          <w:color w:val="1A1A1A"/>
          <w:sz w:val="22"/>
        </w:rPr>
        <w:t>Introdução:</w:t>
      </w:r>
      <w:r w:rsidRPr="00004A23">
        <w:rPr>
          <w:color w:val="1A1A1A"/>
          <w:sz w:val="22"/>
        </w:rPr>
        <w:t xml:space="preserve"> Instrumentos existentes já foram validados para diagnósticos estabelecidos de câncer, estados de hipertireoidismo ou hipotireoidismo; entretanto, eles não abordam nódulos com citopatologia indeterminada, nem quantificam os principais fatores que influenciam a tomada de decisão quando o manejo cirúrgico e o não cirúrgico são opções viáveis. Desenvolvemos e avaliamos a validade psicométrica de um novo instrumento prático para esses pacientes. </w:t>
      </w:r>
      <w:r w:rsidRPr="00004A23">
        <w:rPr>
          <w:b/>
          <w:color w:val="1A1A1A"/>
          <w:sz w:val="22"/>
        </w:rPr>
        <w:t>Objetivo:</w:t>
      </w:r>
      <w:r w:rsidRPr="00004A23">
        <w:rPr>
          <w:color w:val="1A1A1A"/>
          <w:sz w:val="22"/>
        </w:rPr>
        <w:t xml:space="preserve"> Desenvolver e validar um instrumento prático e confiável capaz de quantificar o impacto das preocupações relacionadas aos nódulos tireoidianos, especialmente em pacientes com citopatologia indeterminada, a fim de auxiliar a tomada de decisão entre manejo cirúrgico e não cirúrgico e apoiar sua aplicação na prática clínica e na pesquisa. </w:t>
      </w:r>
      <w:r w:rsidRPr="00004A23">
        <w:rPr>
          <w:b/>
          <w:color w:val="1A1A1A"/>
          <w:sz w:val="22"/>
        </w:rPr>
        <w:t xml:space="preserve">Métodos: </w:t>
      </w:r>
      <w:r w:rsidRPr="00004A23">
        <w:rPr>
          <w:color w:val="1A1A1A"/>
          <w:sz w:val="22"/>
        </w:rPr>
        <w:t xml:space="preserve">Foi realizado um estudo prospectivo de validação para avaliar as propriedades psicométricas de um instrumento desenvolvido para apoiar simultaneamente pesquisa e cuidado clínico. Pacientes com mais de 13 anos que se apresentaram com lesões tireoidianas potencialmente benignas ou malignas foram elegíveis. Foram incluídos pacientes consecutivos de um centro acadêmico nos Estados Unidos que completaram o questionário específico para tireoide e avaliações de saúde global. O conteúdo dos itens foi derivado das prioridades relatadas pelos pacientes, da validade aparente (face validity) e da aplicabilidade na prática clínica rotineira. Foram avaliados dimensionalidade, consistência interna, confiabilidade intra-avaliador, responsividade à mudança e validade convergente e discriminante. </w:t>
      </w:r>
      <w:r w:rsidRPr="00004A23">
        <w:rPr>
          <w:b/>
          <w:color w:val="1A1A1A"/>
          <w:sz w:val="22"/>
        </w:rPr>
        <w:t>Resultados:</w:t>
      </w:r>
      <w:r w:rsidRPr="00004A23">
        <w:rPr>
          <w:color w:val="1A1A1A"/>
          <w:sz w:val="22"/>
        </w:rPr>
        <w:t xml:space="preserve"> Em 2.144 respostas de pacientes (idade média de 54 anos, 79% mulheres, 2022–2025), foram demonstradas unidimensionalidade e consistência interna (alfa de Cronbach 0,721; IC 95% ≥ 0,703). As pontuações diferiram quando </w:t>
      </w:r>
      <w:proofErr w:type="gramStart"/>
      <w:r w:rsidRPr="00004A23">
        <w:rPr>
          <w:color w:val="1A1A1A"/>
          <w:sz w:val="22"/>
        </w:rPr>
        <w:t>a</w:t>
      </w:r>
      <w:proofErr w:type="gramEnd"/>
      <w:r w:rsidRPr="00004A23">
        <w:rPr>
          <w:color w:val="1A1A1A"/>
          <w:sz w:val="22"/>
        </w:rPr>
        <w:t xml:space="preserve"> impressão do paciente era de lesão benigna/incerta ou suspeita/maligna (diferença de médias 1,29; IC 95% 0,86–1,72), indicando validade discriminante. A correlação com a saúde geral apoiou a validade convergente (rho de Spearman -0,20 a -0,30). A confiabilidade intra-avaliador foi alta (kappa de Cohen 0,981) e as pontuações mostraram-se responsivas a mudanças. </w:t>
      </w:r>
      <w:r w:rsidRPr="00004A23">
        <w:rPr>
          <w:b/>
          <w:color w:val="1A1A1A"/>
          <w:sz w:val="22"/>
        </w:rPr>
        <w:t>Conclusão:</w:t>
      </w:r>
      <w:r w:rsidRPr="00004A23">
        <w:rPr>
          <w:color w:val="1A1A1A"/>
          <w:sz w:val="22"/>
        </w:rPr>
        <w:t xml:space="preserve"> Este novo instrumento validado oferece um mecanismo conciso para quantificar o impacto das preocupações relacionadas a nódulos tireoidianos, especialmente em situações nas quais múltiplas opções terapêuticas são viáveis; ele pode ser integrado tanto à pesquisa quanto ao cuidado clínico.</w:t>
      </w:r>
    </w:p>
    <w:p w:rsidR="000B5910" w:rsidRDefault="000B5910">
      <w:pPr>
        <w:pBdr>
          <w:bottom w:val="single" w:sz="4" w:space="2" w:color="808080"/>
        </w:pBdr>
        <w:spacing w:before="12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Pontifícia Universidade Católica do Rio Grande do Sul</w:t>
      </w:r>
    </w:p>
    <w:p w:rsidR="000B5910" w:rsidRPr="00004A23" w:rsidRDefault="00057F5C">
      <w:pPr>
        <w:spacing w:after="0" w:line="252" w:lineRule="auto"/>
        <w:rPr>
          <w:sz w:val="16"/>
          <w:szCs w:val="16"/>
        </w:rPr>
      </w:pPr>
      <w:r w:rsidRPr="00004A23">
        <w:rPr>
          <w:color w:val="595959"/>
          <w:sz w:val="16"/>
          <w:szCs w:val="16"/>
          <w:vertAlign w:val="superscript"/>
        </w:rPr>
        <w:t>2</w:t>
      </w:r>
      <w:r w:rsidRPr="00004A23">
        <w:rPr>
          <w:color w:val="595959"/>
          <w:sz w:val="16"/>
          <w:szCs w:val="16"/>
        </w:rPr>
        <w:t xml:space="preserve"> Department of Otolaryngology-Head and Neck Surgery, Mass General Brigham</w:t>
      </w:r>
    </w:p>
    <w:p w:rsidR="000B5910" w:rsidRPr="00004A23" w:rsidRDefault="00057F5C">
      <w:pPr>
        <w:spacing w:after="0" w:line="252" w:lineRule="auto"/>
        <w:rPr>
          <w:sz w:val="16"/>
          <w:szCs w:val="16"/>
        </w:rPr>
      </w:pPr>
      <w:r w:rsidRPr="00004A23">
        <w:rPr>
          <w:color w:val="595959"/>
          <w:sz w:val="16"/>
          <w:szCs w:val="16"/>
          <w:vertAlign w:val="superscript"/>
        </w:rPr>
        <w:t>3</w:t>
      </w:r>
      <w:r w:rsidRPr="00004A23">
        <w:rPr>
          <w:color w:val="595959"/>
          <w:sz w:val="16"/>
          <w:szCs w:val="16"/>
        </w:rPr>
        <w:t xml:space="preserve"> International Clinic, Tokyo</w:t>
      </w:r>
    </w:p>
    <w:p w:rsidR="000B5910" w:rsidRPr="00004A23" w:rsidRDefault="00057F5C">
      <w:pPr>
        <w:spacing w:after="0" w:line="252" w:lineRule="auto"/>
        <w:rPr>
          <w:sz w:val="16"/>
          <w:szCs w:val="16"/>
        </w:rPr>
      </w:pPr>
      <w:r w:rsidRPr="00004A23">
        <w:rPr>
          <w:color w:val="595959"/>
          <w:sz w:val="16"/>
          <w:szCs w:val="16"/>
          <w:vertAlign w:val="superscript"/>
        </w:rPr>
        <w:t>4</w:t>
      </w:r>
      <w:r w:rsidRPr="00004A23">
        <w:rPr>
          <w:color w:val="595959"/>
          <w:sz w:val="16"/>
          <w:szCs w:val="16"/>
        </w:rPr>
        <w:t xml:space="preserve"> Department of Surgery, Mass General Brigham</w:t>
      </w:r>
    </w:p>
    <w:p w:rsidR="000B5910" w:rsidRPr="00004A23" w:rsidRDefault="00057F5C">
      <w:pPr>
        <w:spacing w:after="0" w:line="252" w:lineRule="auto"/>
        <w:rPr>
          <w:sz w:val="16"/>
          <w:szCs w:val="16"/>
        </w:rPr>
      </w:pPr>
      <w:r w:rsidRPr="00004A23">
        <w:rPr>
          <w:color w:val="595959"/>
          <w:sz w:val="16"/>
          <w:szCs w:val="16"/>
          <w:vertAlign w:val="superscript"/>
        </w:rPr>
        <w:t>5</w:t>
      </w:r>
      <w:r w:rsidRPr="00004A23">
        <w:rPr>
          <w:color w:val="595959"/>
          <w:sz w:val="16"/>
          <w:szCs w:val="16"/>
        </w:rPr>
        <w:t xml:space="preserve"> Department of Otolaryngology-Head and Neck Surgery, Department of Surgery and Center for Surgery and Public </w:t>
      </w:r>
      <w:proofErr w:type="gramStart"/>
      <w:r w:rsidRPr="00004A23">
        <w:rPr>
          <w:color w:val="595959"/>
          <w:sz w:val="16"/>
          <w:szCs w:val="16"/>
        </w:rPr>
        <w:t>Health,,</w:t>
      </w:r>
      <w:proofErr w:type="gramEnd"/>
      <w:r w:rsidRPr="00004A23">
        <w:rPr>
          <w:color w:val="595959"/>
          <w:sz w:val="16"/>
          <w:szCs w:val="16"/>
        </w:rPr>
        <w:t xml:space="preserve"> Mass General Brigham</w:t>
      </w:r>
    </w:p>
    <w:p w:rsidR="000B5910" w:rsidRDefault="000B5910">
      <w:pPr>
        <w:sectPr w:rsidR="000B5910">
          <w:headerReference w:type="default" r:id="rId271"/>
          <w:footerReference w:type="default" r:id="rId272"/>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 xml:space="preserve">EXPOSIÇÃO AO BISFENOL </w:t>
      </w:r>
      <w:proofErr w:type="gramStart"/>
      <w:r>
        <w:rPr>
          <w:b/>
          <w:color w:val="1A1A1A"/>
          <w:sz w:val="28"/>
          <w:szCs w:val="24"/>
        </w:rPr>
        <w:t>A</w:t>
      </w:r>
      <w:proofErr w:type="gramEnd"/>
      <w:r>
        <w:rPr>
          <w:b/>
          <w:color w:val="1A1A1A"/>
          <w:sz w:val="28"/>
          <w:szCs w:val="24"/>
        </w:rPr>
        <w:t xml:space="preserve"> E FTALATOS E ALTERAÇÕES DA FUNÇÃO TIREOIDIANA: REVISÃO SISTEMÁTICA</w:t>
      </w:r>
    </w:p>
    <w:p w:rsidR="000B5910" w:rsidRPr="00004A23" w:rsidRDefault="00057F5C">
      <w:pPr>
        <w:spacing w:after="40" w:line="252" w:lineRule="auto"/>
        <w:jc w:val="right"/>
        <w:rPr>
          <w:szCs w:val="21"/>
        </w:rPr>
      </w:pPr>
      <w:r w:rsidRPr="00004A23">
        <w:rPr>
          <w:color w:val="1A1A1A"/>
          <w:szCs w:val="21"/>
        </w:rPr>
        <w:t>Lucas Henrique Dill</w:t>
      </w:r>
      <w:r w:rsidRPr="00004A23">
        <w:rPr>
          <w:color w:val="1A1A1A"/>
          <w:szCs w:val="21"/>
          <w:vertAlign w:val="superscript"/>
        </w:rPr>
        <w:t>1</w:t>
      </w:r>
      <w:r w:rsidRPr="00004A23">
        <w:rPr>
          <w:szCs w:val="21"/>
        </w:rPr>
        <w:br/>
      </w:r>
      <w:r w:rsidRPr="00004A23">
        <w:rPr>
          <w:color w:val="1A1A1A"/>
          <w:szCs w:val="21"/>
        </w:rPr>
        <w:t>Pedro Stefani Mainardi</w:t>
      </w:r>
      <w:r w:rsidRPr="00004A23">
        <w:rPr>
          <w:color w:val="1A1A1A"/>
          <w:szCs w:val="21"/>
          <w:vertAlign w:val="superscript"/>
        </w:rPr>
        <w:t>1</w:t>
      </w:r>
      <w:r w:rsidRPr="00004A23">
        <w:rPr>
          <w:szCs w:val="21"/>
        </w:rPr>
        <w:br/>
      </w:r>
      <w:r w:rsidRPr="00004A23">
        <w:rPr>
          <w:color w:val="1A1A1A"/>
          <w:szCs w:val="21"/>
        </w:rPr>
        <w:t>João Vicente Parmigiani</w:t>
      </w:r>
      <w:r w:rsidRPr="00004A23">
        <w:rPr>
          <w:color w:val="1A1A1A"/>
          <w:szCs w:val="21"/>
          <w:vertAlign w:val="superscript"/>
        </w:rPr>
        <w:t>1</w:t>
      </w:r>
      <w:r w:rsidRPr="00004A23">
        <w:rPr>
          <w:szCs w:val="21"/>
        </w:rPr>
        <w:br/>
      </w:r>
      <w:r w:rsidRPr="00004A23">
        <w:rPr>
          <w:color w:val="1A1A1A"/>
          <w:szCs w:val="21"/>
        </w:rPr>
        <w:t>Tales Benck De Moraes</w:t>
      </w:r>
      <w:r w:rsidRPr="00004A23">
        <w:rPr>
          <w:color w:val="1A1A1A"/>
          <w:szCs w:val="21"/>
          <w:vertAlign w:val="superscript"/>
        </w:rPr>
        <w:t>1</w:t>
      </w:r>
      <w:r w:rsidRPr="00004A23">
        <w:rPr>
          <w:szCs w:val="21"/>
        </w:rPr>
        <w:br/>
      </w:r>
      <w:r w:rsidRPr="00004A23">
        <w:rPr>
          <w:color w:val="1A1A1A"/>
          <w:szCs w:val="21"/>
        </w:rPr>
        <w:t>Thiago Knebel Backes</w:t>
      </w:r>
      <w:r w:rsidRPr="00004A23">
        <w:rPr>
          <w:color w:val="1A1A1A"/>
          <w:szCs w:val="21"/>
          <w:vertAlign w:val="superscript"/>
        </w:rPr>
        <w:t>1</w:t>
      </w:r>
      <w:r w:rsidRPr="00004A23">
        <w:rPr>
          <w:szCs w:val="21"/>
        </w:rPr>
        <w:br/>
      </w:r>
      <w:r w:rsidRPr="00004A23">
        <w:rPr>
          <w:color w:val="1A1A1A"/>
          <w:szCs w:val="21"/>
        </w:rPr>
        <w:t>Vicente Varal Zanchin</w:t>
      </w:r>
      <w:r w:rsidRPr="00004A23">
        <w:rPr>
          <w:color w:val="1A1A1A"/>
          <w:szCs w:val="21"/>
          <w:vertAlign w:val="superscript"/>
        </w:rPr>
        <w:t>1</w:t>
      </w:r>
    </w:p>
    <w:p w:rsidR="000B5910" w:rsidRDefault="00057F5C">
      <w:pPr>
        <w:spacing w:before="200" w:after="100"/>
      </w:pPr>
      <w:r>
        <w:rPr>
          <w:b/>
          <w:color w:val="1A1A1A"/>
          <w:sz w:val="22"/>
          <w:szCs w:val="24"/>
        </w:rPr>
        <w:t>RESUMO</w:t>
      </w:r>
    </w:p>
    <w:p w:rsidR="000B5910" w:rsidRPr="00004A23" w:rsidRDefault="00057F5C">
      <w:pPr>
        <w:spacing w:after="80" w:line="264" w:lineRule="auto"/>
        <w:jc w:val="both"/>
        <w:rPr>
          <w:sz w:val="22"/>
          <w:szCs w:val="21"/>
        </w:rPr>
      </w:pPr>
      <w:r w:rsidRPr="00004A23">
        <w:rPr>
          <w:b/>
          <w:color w:val="1A1A1A"/>
          <w:sz w:val="22"/>
          <w:szCs w:val="21"/>
        </w:rPr>
        <w:t>Introdução:</w:t>
      </w:r>
      <w:r w:rsidRPr="00004A23">
        <w:rPr>
          <w:color w:val="1A1A1A"/>
          <w:sz w:val="22"/>
          <w:szCs w:val="21"/>
        </w:rPr>
        <w:t xml:space="preserve"> Disruptores endócrinos são substâncias químicas capazes de interferir na sinalização hormonal e na homeostase metabólica. Entre os compostos mais distribuídos no ambiente destacam-se o Bisfenol A (BPA) e os Ftalatos, utilizados na produção de plásticos, embalagens alimentares e produtos de higiene pessoal. Evidências sugerem que essas substâncias podem interferir no eixo hipotálamo-hipófise-tireoide, alterando a síntese, metabolismo e ação periférica dos hormônios tireoidianos. Estudos epidemiológicos investigam </w:t>
      </w:r>
      <w:proofErr w:type="gramStart"/>
      <w:r w:rsidRPr="00004A23">
        <w:rPr>
          <w:color w:val="1A1A1A"/>
          <w:sz w:val="22"/>
          <w:szCs w:val="21"/>
        </w:rPr>
        <w:t>a</w:t>
      </w:r>
      <w:proofErr w:type="gramEnd"/>
      <w:r w:rsidRPr="00004A23">
        <w:rPr>
          <w:color w:val="1A1A1A"/>
          <w:sz w:val="22"/>
          <w:szCs w:val="21"/>
        </w:rPr>
        <w:t xml:space="preserve"> associação entre exposição a esses compostos e alterações nos níveis de TSH, T3 e T4, porém os resultados ainda são heterogêneos. </w:t>
      </w:r>
      <w:r w:rsidRPr="00004A23">
        <w:rPr>
          <w:b/>
          <w:color w:val="1A1A1A"/>
          <w:sz w:val="22"/>
          <w:szCs w:val="21"/>
        </w:rPr>
        <w:t>Objetivo</w:t>
      </w:r>
      <w:r w:rsidRPr="00004A23">
        <w:rPr>
          <w:color w:val="1A1A1A"/>
          <w:sz w:val="22"/>
          <w:szCs w:val="21"/>
        </w:rPr>
        <w:t xml:space="preserve">: Avaliar a associação entre exposição ao bisfenol A e ftalatos e alterações da função tireoidiana em humanos por meio de uma revisão sistemática da literatura. </w:t>
      </w:r>
      <w:r w:rsidRPr="00004A23">
        <w:rPr>
          <w:b/>
          <w:color w:val="1A1A1A"/>
          <w:sz w:val="22"/>
          <w:szCs w:val="21"/>
        </w:rPr>
        <w:t>Métodos:</w:t>
      </w:r>
      <w:r w:rsidRPr="00004A23">
        <w:rPr>
          <w:color w:val="1A1A1A"/>
          <w:sz w:val="22"/>
          <w:szCs w:val="21"/>
        </w:rPr>
        <w:t xml:space="preserve"> Realizou-se revisão sistemática conduzida conforme as diretrizes PRISMA. A busca foi realizada nas bases PubMed, Scopus e Web of Science utilizando os descritores “bisphenol A”, “phthalates”, “endocrine disrupting chemicals” e “thyroid function”. Foram incluídos estudos observacionais em humanos que avaliaram biomarcadores urinários de exposição e parâmetros laboratoriais da função tireoidiana. Estudos em animais, revisões narrativas e artigos sem dados originais foram excluídos. </w:t>
      </w:r>
      <w:r w:rsidRPr="00004A23">
        <w:rPr>
          <w:b/>
          <w:color w:val="1A1A1A"/>
          <w:sz w:val="22"/>
          <w:szCs w:val="21"/>
        </w:rPr>
        <w:t>Resultados:</w:t>
      </w:r>
      <w:r w:rsidRPr="00004A23">
        <w:rPr>
          <w:color w:val="1A1A1A"/>
          <w:sz w:val="22"/>
          <w:szCs w:val="21"/>
        </w:rPr>
        <w:t xml:space="preserve"> Foram identificados 428 estudos, dos quais 16 preencheram os critérios de inclusão após triagem e análise completa. Em um estudo populacional com dados do NHANES envolvendo 1.346 adultos e 329 adolescentes, houve associação entre metabólitos urinários de ftalatos e redução dose-dependente de tiroxina total (T4), além de aumento de TSH em adultos expostos. Resultados semelhantes foram descritos em análises subsequentes, demonstrando correlação entre metabólitos de ftalatos e alterações em triiodotironina (T3) e TSH em adolescentes. Em relação ao BPA, estudos observacionais e meta-análises indicam associação entre níveis urinários elevados e alterações nos hormônios do eixo hipotálamo-hipófise-tireoide em adultos e gestantes. </w:t>
      </w:r>
      <w:r w:rsidRPr="00004A23">
        <w:rPr>
          <w:b/>
          <w:color w:val="1A1A1A"/>
          <w:sz w:val="22"/>
          <w:szCs w:val="21"/>
        </w:rPr>
        <w:t>Conclusão:</w:t>
      </w:r>
      <w:r w:rsidRPr="00004A23">
        <w:rPr>
          <w:color w:val="1A1A1A"/>
          <w:sz w:val="22"/>
          <w:szCs w:val="21"/>
        </w:rPr>
        <w:t xml:space="preserve"> A evidência científica atual sugere que </w:t>
      </w:r>
      <w:proofErr w:type="gramStart"/>
      <w:r w:rsidRPr="00004A23">
        <w:rPr>
          <w:color w:val="1A1A1A"/>
          <w:sz w:val="22"/>
          <w:szCs w:val="21"/>
        </w:rPr>
        <w:t>a</w:t>
      </w:r>
      <w:proofErr w:type="gramEnd"/>
      <w:r w:rsidRPr="00004A23">
        <w:rPr>
          <w:color w:val="1A1A1A"/>
          <w:sz w:val="22"/>
          <w:szCs w:val="21"/>
        </w:rPr>
        <w:t xml:space="preserve"> exposição ambiental ao bisfenol A e aos ftalatos pode estar associada a alterações nos níveis de hormônios tireoidianos em humanos. Entretanto, a heterogeneidade metodológica dos estudos limita a definição de causalidade. Estudos longitudinais adicionais são necessários para esclarecer o impacto clínico dessas substâncias sobre a função tireoidiana e a saúde endócrina.</w:t>
      </w:r>
    </w:p>
    <w:p w:rsidR="000B5910" w:rsidRDefault="000B5910">
      <w:pPr>
        <w:pBdr>
          <w:bottom w:val="single" w:sz="4" w:space="2" w:color="808080"/>
        </w:pBdr>
        <w:spacing w:before="12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de Passo Fundo</w:t>
      </w:r>
    </w:p>
    <w:p w:rsidR="000B5910" w:rsidRDefault="000B5910">
      <w:pPr>
        <w:sectPr w:rsidR="000B5910">
          <w:headerReference w:type="default" r:id="rId273"/>
          <w:footerReference w:type="default" r:id="rId27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CARCINOMA PAPILAR EM NÓDULO HIPERCAPTANTE NA SÍNDROME DE MARINE-LENHART: RELATO DE CASO</w:t>
      </w:r>
    </w:p>
    <w:p w:rsidR="000B5910" w:rsidRPr="00004A23" w:rsidRDefault="00057F5C">
      <w:pPr>
        <w:spacing w:after="40" w:line="252" w:lineRule="auto"/>
        <w:jc w:val="right"/>
        <w:rPr>
          <w:szCs w:val="21"/>
        </w:rPr>
      </w:pPr>
      <w:r w:rsidRPr="00004A23">
        <w:rPr>
          <w:color w:val="1A1A1A"/>
          <w:szCs w:val="21"/>
        </w:rPr>
        <w:t>Geisa Gabrielli Pessuto</w:t>
      </w:r>
      <w:r w:rsidRPr="00004A23">
        <w:rPr>
          <w:color w:val="1A1A1A"/>
          <w:szCs w:val="21"/>
          <w:vertAlign w:val="superscript"/>
        </w:rPr>
        <w:t>1</w:t>
      </w:r>
      <w:r w:rsidRPr="00004A23">
        <w:rPr>
          <w:szCs w:val="21"/>
        </w:rPr>
        <w:br/>
      </w:r>
      <w:r w:rsidRPr="00004A23">
        <w:rPr>
          <w:color w:val="1A1A1A"/>
          <w:szCs w:val="21"/>
        </w:rPr>
        <w:t>Giovanna Valle</w:t>
      </w:r>
      <w:r w:rsidRPr="00004A23">
        <w:rPr>
          <w:color w:val="1A1A1A"/>
          <w:szCs w:val="21"/>
          <w:vertAlign w:val="superscript"/>
        </w:rPr>
        <w:t>1</w:t>
      </w:r>
      <w:r w:rsidRPr="00004A23">
        <w:rPr>
          <w:szCs w:val="21"/>
        </w:rPr>
        <w:br/>
      </w:r>
      <w:r w:rsidRPr="00004A23">
        <w:rPr>
          <w:color w:val="1A1A1A"/>
          <w:szCs w:val="21"/>
        </w:rPr>
        <w:t>Luiza Azevedo</w:t>
      </w:r>
      <w:r w:rsidRPr="00004A23">
        <w:rPr>
          <w:color w:val="1A1A1A"/>
          <w:szCs w:val="21"/>
          <w:vertAlign w:val="superscript"/>
        </w:rPr>
        <w:t>1</w:t>
      </w:r>
      <w:r w:rsidRPr="00004A23">
        <w:rPr>
          <w:szCs w:val="21"/>
        </w:rPr>
        <w:br/>
      </w:r>
      <w:r w:rsidRPr="00004A23">
        <w:rPr>
          <w:color w:val="1A1A1A"/>
          <w:szCs w:val="21"/>
        </w:rPr>
        <w:t>Marina Macedo</w:t>
      </w:r>
      <w:r w:rsidRPr="00004A23">
        <w:rPr>
          <w:color w:val="1A1A1A"/>
          <w:szCs w:val="21"/>
          <w:vertAlign w:val="superscript"/>
        </w:rPr>
        <w:t>1</w:t>
      </w:r>
      <w:r w:rsidRPr="00004A23">
        <w:rPr>
          <w:szCs w:val="21"/>
        </w:rPr>
        <w:br/>
      </w:r>
      <w:r w:rsidRPr="00004A23">
        <w:rPr>
          <w:color w:val="1A1A1A"/>
          <w:szCs w:val="21"/>
        </w:rPr>
        <w:t>Cassiana Konig</w:t>
      </w:r>
      <w:r w:rsidRPr="00004A23">
        <w:rPr>
          <w:color w:val="1A1A1A"/>
          <w:szCs w:val="21"/>
          <w:vertAlign w:val="superscript"/>
        </w:rPr>
        <w:t>1</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 xml:space="preserve">Apresentação do Caso: </w:t>
      </w:r>
      <w:r w:rsidRPr="00004A23">
        <w:rPr>
          <w:color w:val="1A1A1A"/>
          <w:sz w:val="22"/>
        </w:rPr>
        <w:t xml:space="preserve">Paciente feminina, 36 anos, procurou atendimento endocrinológico após alteração em provas de função tireoidiana em exame de rotina, com TSH suprimido e ausência de sinais clínicos de tireotoxicose. </w:t>
      </w:r>
      <w:proofErr w:type="gramStart"/>
      <w:r w:rsidRPr="00004A23">
        <w:rPr>
          <w:color w:val="1A1A1A"/>
          <w:sz w:val="22"/>
        </w:rPr>
        <w:t>A</w:t>
      </w:r>
      <w:proofErr w:type="gramEnd"/>
      <w:r w:rsidRPr="00004A23">
        <w:rPr>
          <w:color w:val="1A1A1A"/>
          <w:sz w:val="22"/>
        </w:rPr>
        <w:t xml:space="preserve"> investigação confirmou hipertireoidismo bioquímico, com TRAb positivo. A cintilografia evidenciou área focal de hipercaptação no lobo esquerdo, compatível com nódulo funcionante. A ultrassonografia mostrou nódulo isoecogênico no lobo esquerdo (1,6 × 0,8 × 1,2 cm), com contornos lobulados e múltiplos focos ecogênicos, classificado como ACR TI-RADS 5. Apesar da hipercaptação, </w:t>
      </w:r>
      <w:proofErr w:type="gramStart"/>
      <w:r w:rsidRPr="00004A23">
        <w:rPr>
          <w:color w:val="1A1A1A"/>
          <w:sz w:val="22"/>
        </w:rPr>
        <w:t>a</w:t>
      </w:r>
      <w:proofErr w:type="gramEnd"/>
      <w:r w:rsidRPr="00004A23">
        <w:rPr>
          <w:color w:val="1A1A1A"/>
          <w:sz w:val="22"/>
        </w:rPr>
        <w:t xml:space="preserve"> alta suspeição ultrassonográfica motivou punção aspirativa por agulha fina, com resultado Bethesda V. Diante da suspeita de neoplasia associada à Doença de Graves, foi indicada tireoidectomia total. A paciente evoluiu sem intercorrências. O anatomopatológico revelou carcinoma papilífero clássico não encapsulado, medindo 2,0 cm, sem invasão vascular, perineural ou extensão extratireoidiana. No seguimento, apresentou excelente resposta terapêutica. </w:t>
      </w:r>
      <w:r w:rsidRPr="00004A23">
        <w:rPr>
          <w:b/>
          <w:color w:val="1A1A1A"/>
          <w:sz w:val="22"/>
        </w:rPr>
        <w:t xml:space="preserve">Discussão: </w:t>
      </w:r>
      <w:r w:rsidRPr="00004A23">
        <w:rPr>
          <w:color w:val="1A1A1A"/>
          <w:sz w:val="22"/>
        </w:rPr>
        <w:t xml:space="preserve">A Síndrome de Marine-Lenhart caracteriza-se pela coexistência de Doença de Graves com nódulos tireoidianos autônomos funcionantes, ocorrendo em cerca de 1–4% dos casos. </w:t>
      </w:r>
      <w:proofErr w:type="gramStart"/>
      <w:r w:rsidRPr="00004A23">
        <w:rPr>
          <w:color w:val="1A1A1A"/>
          <w:sz w:val="22"/>
        </w:rPr>
        <w:t>A</w:t>
      </w:r>
      <w:proofErr w:type="gramEnd"/>
      <w:r w:rsidRPr="00004A23">
        <w:rPr>
          <w:color w:val="1A1A1A"/>
          <w:sz w:val="22"/>
        </w:rPr>
        <w:t xml:space="preserve"> associação com carcinoma papilífero em nódulos funcionantes é rara. Acredita-se que </w:t>
      </w:r>
      <w:proofErr w:type="gramStart"/>
      <w:r w:rsidRPr="00004A23">
        <w:rPr>
          <w:color w:val="1A1A1A"/>
          <w:sz w:val="22"/>
        </w:rPr>
        <w:t>a</w:t>
      </w:r>
      <w:proofErr w:type="gramEnd"/>
      <w:r w:rsidRPr="00004A23">
        <w:rPr>
          <w:color w:val="1A1A1A"/>
          <w:sz w:val="22"/>
        </w:rPr>
        <w:t xml:space="preserve"> estimulação crônica do receptor de TSH pelos autoanticorpos possa favorecer crescimento e autonomia nodular. Embora nódulos hipercaptantes apresentem baixo risco de malignidade (&lt;1%), essa possibilidade não é excluída. Estudos recentes relatam carcinoma papilífero nesses casos, especialmente quando há achados ultrassonográficos suspeitos, como bordas irregulares e microcalcificações. Neste caso, a discordância entre cintilografia e ultrassonografia foi decisiva para indicação da citologia, confirmando alto risco. </w:t>
      </w:r>
      <w:r w:rsidRPr="00004A23">
        <w:rPr>
          <w:b/>
          <w:color w:val="1A1A1A"/>
          <w:sz w:val="22"/>
        </w:rPr>
        <w:t xml:space="preserve">Considerações finais: </w:t>
      </w:r>
      <w:r w:rsidRPr="00004A23">
        <w:rPr>
          <w:color w:val="1A1A1A"/>
          <w:sz w:val="22"/>
        </w:rPr>
        <w:t xml:space="preserve">Este relato reforça </w:t>
      </w:r>
      <w:proofErr w:type="gramStart"/>
      <w:r w:rsidRPr="00004A23">
        <w:rPr>
          <w:color w:val="1A1A1A"/>
          <w:sz w:val="22"/>
        </w:rPr>
        <w:t>a</w:t>
      </w:r>
      <w:proofErr w:type="gramEnd"/>
      <w:r w:rsidRPr="00004A23">
        <w:rPr>
          <w:color w:val="1A1A1A"/>
          <w:sz w:val="22"/>
        </w:rPr>
        <w:t xml:space="preserve"> importância da avaliação multimodal dos nódulos tireoidianos na Doença de Graves. Mesmo em nódulos hipercaptantes, achados suspeitos à ultrassonografia devem motivar investigação citológica. </w:t>
      </w:r>
      <w:proofErr w:type="gramStart"/>
      <w:r w:rsidRPr="00004A23">
        <w:rPr>
          <w:color w:val="1A1A1A"/>
          <w:sz w:val="22"/>
        </w:rPr>
        <w:t>A</w:t>
      </w:r>
      <w:proofErr w:type="gramEnd"/>
      <w:r w:rsidRPr="00004A23">
        <w:rPr>
          <w:color w:val="1A1A1A"/>
          <w:sz w:val="22"/>
        </w:rPr>
        <w:t xml:space="preserve"> integração entre métodos é fundamental para evitar subdiagnóstico e orientar a conduta adequada.</w:t>
      </w:r>
    </w:p>
    <w:p w:rsidR="000B5910" w:rsidRDefault="000B5910">
      <w:pPr>
        <w:pBdr>
          <w:bottom w:val="single" w:sz="4" w:space="2" w:color="808080"/>
        </w:pBdr>
        <w:spacing w:before="16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Luterana do Brasil</w:t>
      </w:r>
    </w:p>
    <w:p w:rsidR="000B5910" w:rsidRDefault="000B5910">
      <w:pPr>
        <w:sectPr w:rsidR="000B5910">
          <w:headerReference w:type="default" r:id="rId275"/>
          <w:footerReference w:type="default" r:id="rId27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NEOPLASIA MALIGNA DA TIREOIDE NO BRASIL: UMA ANÁLISE NACIONAL DOS CASOS NOTIFICADOS ENTRE 2014 E 2024</w:t>
      </w:r>
    </w:p>
    <w:p w:rsidR="000B5910" w:rsidRPr="00004A23" w:rsidRDefault="00057F5C">
      <w:pPr>
        <w:spacing w:after="40" w:line="252" w:lineRule="auto"/>
        <w:jc w:val="right"/>
        <w:rPr>
          <w:szCs w:val="21"/>
        </w:rPr>
      </w:pPr>
      <w:r w:rsidRPr="00004A23">
        <w:rPr>
          <w:color w:val="1A1A1A"/>
          <w:szCs w:val="21"/>
        </w:rPr>
        <w:t>Ana Clara Ezequiel Soares Ferreira</w:t>
      </w:r>
      <w:r w:rsidRPr="00004A23">
        <w:rPr>
          <w:color w:val="1A1A1A"/>
          <w:szCs w:val="21"/>
          <w:vertAlign w:val="superscript"/>
        </w:rPr>
        <w:t>1</w:t>
      </w:r>
      <w:r w:rsidRPr="00004A23">
        <w:rPr>
          <w:szCs w:val="21"/>
        </w:rPr>
        <w:br/>
      </w:r>
      <w:r w:rsidRPr="00004A23">
        <w:rPr>
          <w:color w:val="1A1A1A"/>
          <w:szCs w:val="21"/>
        </w:rPr>
        <w:t>Felipe Saath</w:t>
      </w:r>
      <w:r w:rsidRPr="00004A23">
        <w:rPr>
          <w:color w:val="1A1A1A"/>
          <w:szCs w:val="21"/>
          <w:vertAlign w:val="superscript"/>
        </w:rPr>
        <w:t>1</w:t>
      </w:r>
      <w:r w:rsidRPr="00004A23">
        <w:rPr>
          <w:szCs w:val="21"/>
        </w:rPr>
        <w:br/>
      </w:r>
      <w:r w:rsidRPr="00004A23">
        <w:rPr>
          <w:color w:val="1A1A1A"/>
          <w:szCs w:val="21"/>
        </w:rPr>
        <w:t>Kelen Lise Biazi</w:t>
      </w:r>
      <w:r w:rsidRPr="00004A23">
        <w:rPr>
          <w:color w:val="1A1A1A"/>
          <w:szCs w:val="21"/>
          <w:vertAlign w:val="superscript"/>
        </w:rPr>
        <w:t>1</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Introdução</w:t>
      </w:r>
      <w:r w:rsidRPr="00004A23">
        <w:rPr>
          <w:color w:val="1A1A1A"/>
          <w:sz w:val="22"/>
        </w:rPr>
        <w:t xml:space="preserve">: As neoplasias malignas da tireoide formam um grupo de tumores com comportamentos clínicos diversos, sendo o carcinoma papilífero o subtipo mais prevalente. Apesar do bom prognóstico na maioria dos casos, fatores como subtipo histológico, idade ao diagnóstico e acesso ao tratamento influenciam significativamente </w:t>
      </w:r>
      <w:proofErr w:type="gramStart"/>
      <w:r w:rsidRPr="00004A23">
        <w:rPr>
          <w:color w:val="1A1A1A"/>
          <w:sz w:val="22"/>
        </w:rPr>
        <w:t>a</w:t>
      </w:r>
      <w:proofErr w:type="gramEnd"/>
      <w:r w:rsidRPr="00004A23">
        <w:rPr>
          <w:color w:val="1A1A1A"/>
          <w:sz w:val="22"/>
        </w:rPr>
        <w:t xml:space="preserve"> evolução clínica. O aumento do número de diagnósticos nas últimas décadas pode estar relacionado à ampliação do rastreamento e ao aprimoramento dos métodos diagnósticos. No entanto, os dados nacionais sobre internações e perfil epidemiológico permanecem limitados. Compreender essas tendências é essencial para identificar desigualdades regionais e subsidiar políticas públicas voltadas à detecção precoce e ao manejo adequado da doença. </w:t>
      </w:r>
      <w:r w:rsidRPr="00004A23">
        <w:rPr>
          <w:b/>
          <w:color w:val="1A1A1A"/>
          <w:sz w:val="22"/>
        </w:rPr>
        <w:t>Objetivo:</w:t>
      </w:r>
      <w:r w:rsidRPr="00004A23">
        <w:rPr>
          <w:color w:val="1A1A1A"/>
          <w:sz w:val="22"/>
        </w:rPr>
        <w:t xml:space="preserve"> Investigar o perfil epidemiológico dos casos de neoplasia maligna de tireoide no Brasil entre 2014 e 2024. </w:t>
      </w:r>
      <w:r w:rsidRPr="00004A23">
        <w:rPr>
          <w:b/>
          <w:color w:val="1A1A1A"/>
          <w:sz w:val="22"/>
        </w:rPr>
        <w:t>Métodos:</w:t>
      </w:r>
      <w:r w:rsidRPr="00004A23">
        <w:rPr>
          <w:color w:val="1A1A1A"/>
          <w:sz w:val="22"/>
        </w:rPr>
        <w:t xml:space="preserve"> Estudo ecológico de séries temporais com dados do Departamento de Informática do Sistema Único de Saúde (DATASUS). Foram incluídos casos de neoplasia maligna da tireoide (CID-10 C73) notificados entre 2014 e 2024. As variáveis analisadas foram: ano de notificação, número de casos, faixa etária, sexo e modalidade terapêutica. Utilizaram-se métodos estatísticos descritivos (n, %) para análise dos dados. </w:t>
      </w:r>
      <w:r w:rsidRPr="00004A23">
        <w:rPr>
          <w:b/>
          <w:color w:val="1A1A1A"/>
          <w:sz w:val="22"/>
        </w:rPr>
        <w:t>Resultados:</w:t>
      </w:r>
      <w:r w:rsidRPr="00004A23">
        <w:rPr>
          <w:color w:val="1A1A1A"/>
          <w:sz w:val="22"/>
        </w:rPr>
        <w:t xml:space="preserve"> Entre 2014 e 2024, foram registrados 53.603 casos de neoplasia maligna da tireoide no Brasil. A região Sudeste concentrou 42,3% dos casos, seguida pelo Nordeste (31,9%) e Sul (16,4%). As mulheres representaram 85,2% dos registros. A faixa etária mais acometida foi de 50 a 54 anos (12,2%). Quanto ao tratamento, a cirurgia esteve presente em 49,7% dos casos, seguida por radioterapia (2%) e quimioterapia (1,2%). Em 46,9% dos registros, não havia informação sobre a modalidade terapêutica. </w:t>
      </w:r>
      <w:r w:rsidRPr="00004A23">
        <w:rPr>
          <w:b/>
          <w:color w:val="1A1A1A"/>
          <w:sz w:val="22"/>
        </w:rPr>
        <w:t>Conclusão:</w:t>
      </w:r>
      <w:r w:rsidRPr="00004A23">
        <w:rPr>
          <w:color w:val="1A1A1A"/>
          <w:sz w:val="22"/>
        </w:rPr>
        <w:t xml:space="preserve"> Os resultados evidenciam marcadas disparidades regionais e demográficas nos casos de neoplasia maligna de tireoide no Brasil. A predominância em mulheres de meia-idade reforça padrões já descritos na literatura. A concentração de casos no Sudeste pode refletir maior acesso a serviços de saúde e recursos diagnósticos. </w:t>
      </w:r>
      <w:proofErr w:type="gramStart"/>
      <w:r w:rsidRPr="00004A23">
        <w:rPr>
          <w:color w:val="1A1A1A"/>
          <w:sz w:val="22"/>
        </w:rPr>
        <w:t>A</w:t>
      </w:r>
      <w:proofErr w:type="gramEnd"/>
      <w:r w:rsidRPr="00004A23">
        <w:rPr>
          <w:color w:val="1A1A1A"/>
          <w:sz w:val="22"/>
        </w:rPr>
        <w:t xml:space="preserve"> elevada proporção de registros sem informação sobre o tratamento aponta para fragilidades nos sistemas de notificação, limitando a avaliação da qualidade e equidade da assistência oncológica. Esses achados reforçam a necessidade de qualificar os dados em saúde e direcionar políticas públicas para o diagnóstico e tratamento oportunos da doença.</w:t>
      </w:r>
      <w:r w:rsidR="00004A23">
        <w:rPr>
          <w:color w:val="1A1A1A"/>
          <w:sz w:val="22"/>
        </w:rPr>
        <w:t xml:space="preserve"> </w:t>
      </w:r>
      <w:r w:rsidRPr="00004A23">
        <w:rPr>
          <w:b/>
          <w:color w:val="1A1A1A"/>
          <w:sz w:val="22"/>
        </w:rPr>
        <w:t>OBESIDADE</w:t>
      </w:r>
    </w:p>
    <w:p w:rsidR="000B5910" w:rsidRDefault="000B5910">
      <w:pPr>
        <w:pBdr>
          <w:bottom w:val="single" w:sz="4" w:space="2" w:color="808080"/>
        </w:pBdr>
        <w:spacing w:before="16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Federal da Fronteira Sul</w:t>
      </w:r>
    </w:p>
    <w:p w:rsidR="000B5910" w:rsidRDefault="000B5910">
      <w:pPr>
        <w:sectPr w:rsidR="000B5910">
          <w:headerReference w:type="default" r:id="rId277"/>
          <w:footerReference w:type="default" r:id="rId27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ESTRESSE OCUPACIONAL, OBESIDADE E LEPTINA SÉRICA EM MULHERES TRABALHADORAS EM TURNO</w:t>
      </w:r>
    </w:p>
    <w:p w:rsidR="000B5910" w:rsidRPr="00004A23" w:rsidRDefault="00057F5C">
      <w:pPr>
        <w:spacing w:after="40" w:line="252" w:lineRule="auto"/>
        <w:jc w:val="right"/>
        <w:rPr>
          <w:szCs w:val="21"/>
        </w:rPr>
      </w:pPr>
      <w:r w:rsidRPr="00004A23">
        <w:rPr>
          <w:color w:val="1A1A1A"/>
          <w:szCs w:val="21"/>
        </w:rPr>
        <w:t>Heloísa Theodoro</w:t>
      </w:r>
      <w:r w:rsidRPr="00004A23">
        <w:rPr>
          <w:color w:val="1A1A1A"/>
          <w:szCs w:val="21"/>
          <w:vertAlign w:val="superscript"/>
        </w:rPr>
        <w:t>1</w:t>
      </w:r>
      <w:r w:rsidRPr="00004A23">
        <w:rPr>
          <w:szCs w:val="21"/>
        </w:rPr>
        <w:br/>
      </w:r>
      <w:r w:rsidRPr="00004A23">
        <w:rPr>
          <w:color w:val="1A1A1A"/>
          <w:szCs w:val="21"/>
        </w:rPr>
        <w:t>Claudia Caberlon</w:t>
      </w:r>
      <w:r w:rsidRPr="00004A23">
        <w:rPr>
          <w:color w:val="1A1A1A"/>
          <w:szCs w:val="21"/>
          <w:vertAlign w:val="superscript"/>
        </w:rPr>
        <w:t>1</w:t>
      </w:r>
      <w:r w:rsidRPr="00004A23">
        <w:rPr>
          <w:szCs w:val="21"/>
        </w:rPr>
        <w:br/>
      </w:r>
      <w:r w:rsidRPr="00004A23">
        <w:rPr>
          <w:color w:val="1A1A1A"/>
          <w:szCs w:val="21"/>
        </w:rPr>
        <w:t>Anderson Garcez</w:t>
      </w:r>
      <w:r w:rsidRPr="00004A23">
        <w:rPr>
          <w:color w:val="1A1A1A"/>
          <w:szCs w:val="21"/>
          <w:vertAlign w:val="superscript"/>
        </w:rPr>
        <w:t>2</w:t>
      </w:r>
      <w:r w:rsidRPr="00004A23">
        <w:rPr>
          <w:szCs w:val="21"/>
        </w:rPr>
        <w:br/>
      </w:r>
      <w:r w:rsidRPr="00004A23">
        <w:rPr>
          <w:color w:val="1A1A1A"/>
          <w:szCs w:val="21"/>
        </w:rPr>
        <w:t>Janaína da Silva</w:t>
      </w:r>
      <w:r w:rsidRPr="00004A23">
        <w:rPr>
          <w:color w:val="1A1A1A"/>
          <w:szCs w:val="21"/>
          <w:vertAlign w:val="superscript"/>
        </w:rPr>
        <w:t>3</w:t>
      </w:r>
      <w:r w:rsidRPr="00004A23">
        <w:rPr>
          <w:szCs w:val="21"/>
        </w:rPr>
        <w:br/>
      </w:r>
      <w:r w:rsidRPr="00004A23">
        <w:rPr>
          <w:color w:val="1A1A1A"/>
          <w:szCs w:val="21"/>
        </w:rPr>
        <w:t>Maria Teresa Anselmo Olinto</w:t>
      </w:r>
      <w:r w:rsidRPr="00004A23">
        <w:rPr>
          <w:color w:val="1A1A1A"/>
          <w:szCs w:val="21"/>
          <w:vertAlign w:val="superscript"/>
        </w:rPr>
        <w:t>2</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Introdução:</w:t>
      </w:r>
      <w:r w:rsidRPr="00004A23">
        <w:rPr>
          <w:color w:val="1A1A1A"/>
          <w:sz w:val="22"/>
        </w:rPr>
        <w:t xml:space="preserve"> A leptina é um hormônio peptídico sintetizado pelo tecido adiposo branco e desempenha papel fundamental na regulação do apetite e do metabolismo energético. Em indivíduos com obesidade, apesar da presença de hiperleptinemia, observa-se uma redução na resposta do organismo aos seus efeitos anorexígenos, fenômeno conhecido como resistência à leptina. </w:t>
      </w:r>
      <w:r w:rsidRPr="00004A23">
        <w:rPr>
          <w:b/>
          <w:color w:val="1A1A1A"/>
          <w:sz w:val="22"/>
        </w:rPr>
        <w:t>Objetivo:</w:t>
      </w:r>
      <w:r w:rsidRPr="00004A23">
        <w:rPr>
          <w:color w:val="1A1A1A"/>
          <w:sz w:val="22"/>
        </w:rPr>
        <w:t xml:space="preserve"> Avaliar a associação dos níveis de leptina sérica com obesidade e estresse ocupacional em mulheres trabalhadoras em turno. </w:t>
      </w:r>
      <w:r w:rsidRPr="00004A23">
        <w:rPr>
          <w:b/>
          <w:color w:val="1A1A1A"/>
          <w:sz w:val="22"/>
        </w:rPr>
        <w:t>Métodos:</w:t>
      </w:r>
      <w:r w:rsidRPr="00004A23">
        <w:rPr>
          <w:color w:val="1A1A1A"/>
          <w:sz w:val="22"/>
        </w:rPr>
        <w:t xml:space="preserve"> Estudo transversal com 302 trabalhadoras em turno de um grupo de indústrias localizado no Sul do Brasil. Para avaliar </w:t>
      </w:r>
      <w:proofErr w:type="gramStart"/>
      <w:r w:rsidRPr="00004A23">
        <w:rPr>
          <w:color w:val="1A1A1A"/>
          <w:sz w:val="22"/>
        </w:rPr>
        <w:t>a</w:t>
      </w:r>
      <w:proofErr w:type="gramEnd"/>
      <w:r w:rsidRPr="00004A23">
        <w:rPr>
          <w:color w:val="1A1A1A"/>
          <w:sz w:val="22"/>
        </w:rPr>
        <w:t xml:space="preserve"> obesidade foi utilizado o Índice de Massa Corporal ≥30 kg/m² e, para o estresse ocupacional, foi utilizada a escala Job Stress Scale (JSS). A coleta laboratorial foi empregada para avaliar os níveis séricos de leptina. Os dados foram analisados no software SPSS® versão 21.0. Para </w:t>
      </w:r>
      <w:proofErr w:type="gramStart"/>
      <w:r w:rsidRPr="00004A23">
        <w:rPr>
          <w:color w:val="1A1A1A"/>
          <w:sz w:val="22"/>
        </w:rPr>
        <w:t>a</w:t>
      </w:r>
      <w:proofErr w:type="gramEnd"/>
      <w:r w:rsidRPr="00004A23">
        <w:rPr>
          <w:color w:val="1A1A1A"/>
          <w:sz w:val="22"/>
        </w:rPr>
        <w:t xml:space="preserve"> análise multivariada utilizou-se a Regressão de Poisson com variância robusta. Considerou-se estatisticamente significativo o resultado com valor de p ≤0,05. O projeto de pesquisa foi aprovado pelo Comitê de Ética em Pesquisa sob parecer nº 5.275.921. </w:t>
      </w:r>
      <w:r w:rsidRPr="00004A23">
        <w:rPr>
          <w:b/>
          <w:color w:val="1A1A1A"/>
          <w:sz w:val="22"/>
        </w:rPr>
        <w:t>Resultados:</w:t>
      </w:r>
      <w:r w:rsidRPr="00004A23">
        <w:rPr>
          <w:color w:val="1A1A1A"/>
          <w:sz w:val="22"/>
        </w:rPr>
        <w:t xml:space="preserve"> A prevalência de leptina alterada foi de 78,1% (IC95%: 73,4% - 82,8%). O estado nutricional apresentou associação significativa com leptina alterada, com prevalência de 96,7% entre mulheres com obesidade. Na análise ajustada, as mulheres com obesidade apresentaram uma prevalência de leptina alterada 80% maior que as eutróficas. De forma semelhante, o estresse ocupacional também apresentou associação significativa com leptina alterada, com prevalência de 86,4% entre mulheres que relataram estresse, mantendo associação significativa após ajuste, com prevalência 14% maior. </w:t>
      </w:r>
      <w:r w:rsidRPr="00004A23">
        <w:rPr>
          <w:b/>
          <w:color w:val="1A1A1A"/>
          <w:sz w:val="22"/>
        </w:rPr>
        <w:t>Conclusão:</w:t>
      </w:r>
      <w:r w:rsidRPr="00004A23">
        <w:rPr>
          <w:color w:val="1A1A1A"/>
          <w:sz w:val="22"/>
        </w:rPr>
        <w:t xml:space="preserve"> A obesidade e o estresse ocupacional estão associados à maior prevalência de leptina alterada entre trabalhadoras em turno.</w:t>
      </w:r>
    </w:p>
    <w:p w:rsidR="000B5910" w:rsidRDefault="000B5910">
      <w:pPr>
        <w:pBdr>
          <w:bottom w:val="single" w:sz="4" w:space="2" w:color="808080"/>
        </w:pBdr>
        <w:spacing w:before="16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DE CAXIAS DO SUL UCS</w:t>
      </w:r>
    </w:p>
    <w:p w:rsidR="000B5910" w:rsidRPr="00004A23" w:rsidRDefault="00057F5C">
      <w:pPr>
        <w:spacing w:after="0" w:line="252" w:lineRule="auto"/>
        <w:rPr>
          <w:sz w:val="16"/>
          <w:szCs w:val="16"/>
        </w:rPr>
      </w:pPr>
      <w:r w:rsidRPr="00004A23">
        <w:rPr>
          <w:color w:val="595959"/>
          <w:sz w:val="16"/>
          <w:szCs w:val="16"/>
          <w:vertAlign w:val="superscript"/>
        </w:rPr>
        <w:t>2</w:t>
      </w:r>
      <w:r w:rsidRPr="00004A23">
        <w:rPr>
          <w:color w:val="595959"/>
          <w:sz w:val="16"/>
          <w:szCs w:val="16"/>
        </w:rPr>
        <w:t xml:space="preserve"> UFRGS</w:t>
      </w:r>
    </w:p>
    <w:p w:rsidR="000B5910" w:rsidRPr="00004A23" w:rsidRDefault="00057F5C">
      <w:pPr>
        <w:spacing w:after="0" w:line="252" w:lineRule="auto"/>
        <w:rPr>
          <w:sz w:val="16"/>
          <w:szCs w:val="16"/>
        </w:rPr>
      </w:pPr>
      <w:r w:rsidRPr="00004A23">
        <w:rPr>
          <w:color w:val="595959"/>
          <w:sz w:val="16"/>
          <w:szCs w:val="16"/>
          <w:vertAlign w:val="superscript"/>
        </w:rPr>
        <w:t>3</w:t>
      </w:r>
      <w:r w:rsidRPr="00004A23">
        <w:rPr>
          <w:color w:val="595959"/>
          <w:sz w:val="16"/>
          <w:szCs w:val="16"/>
        </w:rPr>
        <w:t xml:space="preserve"> UNISINOS</w:t>
      </w:r>
    </w:p>
    <w:p w:rsidR="000B5910" w:rsidRDefault="000B5910">
      <w:pPr>
        <w:sectPr w:rsidR="000B5910">
          <w:headerReference w:type="default" r:id="rId279"/>
          <w:footerReference w:type="default" r:id="rId28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SUPLEMENTAÇÃO COM AZEITE DE OLIVA EXTRAVIRGEM: UM POTENCIAL MODULADOR DA INFLAMAÇÃO HIPOTALÂMICA EM UM MODELO DE OBESIDADE ANIMAL INDUZIDA POR DIETA RICA EM GORDURA</w:t>
      </w:r>
    </w:p>
    <w:p w:rsidR="000B5910" w:rsidRPr="00004A23" w:rsidRDefault="00057F5C" w:rsidP="00004A23">
      <w:pPr>
        <w:spacing w:after="40" w:line="240" w:lineRule="auto"/>
        <w:jc w:val="right"/>
        <w:rPr>
          <w:szCs w:val="21"/>
        </w:rPr>
      </w:pPr>
      <w:r w:rsidRPr="00004A23">
        <w:rPr>
          <w:color w:val="1A1A1A"/>
          <w:szCs w:val="21"/>
        </w:rPr>
        <w:t>Denise Entrudo Pinto</w:t>
      </w:r>
      <w:r w:rsidRPr="00004A23">
        <w:rPr>
          <w:color w:val="1A1A1A"/>
          <w:szCs w:val="21"/>
          <w:vertAlign w:val="superscript"/>
        </w:rPr>
        <w:t>1</w:t>
      </w:r>
      <w:r w:rsidRPr="00004A23">
        <w:rPr>
          <w:szCs w:val="21"/>
        </w:rPr>
        <w:br/>
      </w:r>
      <w:r w:rsidRPr="00004A23">
        <w:rPr>
          <w:color w:val="1A1A1A"/>
          <w:szCs w:val="21"/>
        </w:rPr>
        <w:t>Ariadni Mesquita Peres</w:t>
      </w:r>
      <w:r w:rsidRPr="00004A23">
        <w:rPr>
          <w:color w:val="1A1A1A"/>
          <w:szCs w:val="21"/>
          <w:vertAlign w:val="superscript"/>
        </w:rPr>
        <w:t>1</w:t>
      </w:r>
      <w:r w:rsidRPr="00004A23">
        <w:rPr>
          <w:szCs w:val="21"/>
        </w:rPr>
        <w:br/>
      </w:r>
      <w:r w:rsidRPr="00004A23">
        <w:rPr>
          <w:color w:val="1A1A1A"/>
          <w:szCs w:val="21"/>
        </w:rPr>
        <w:t>Ricardo Maia Dantas</w:t>
      </w:r>
      <w:r w:rsidRPr="00004A23">
        <w:rPr>
          <w:color w:val="1A1A1A"/>
          <w:szCs w:val="21"/>
          <w:vertAlign w:val="superscript"/>
        </w:rPr>
        <w:t>1</w:t>
      </w:r>
      <w:r w:rsidRPr="00004A23">
        <w:rPr>
          <w:szCs w:val="21"/>
        </w:rPr>
        <w:br/>
      </w:r>
      <w:r w:rsidRPr="00004A23">
        <w:rPr>
          <w:color w:val="1A1A1A"/>
          <w:szCs w:val="21"/>
        </w:rPr>
        <w:t>Aline Cândida Ferreira</w:t>
      </w:r>
      <w:r w:rsidRPr="00004A23">
        <w:rPr>
          <w:color w:val="1A1A1A"/>
          <w:szCs w:val="21"/>
          <w:vertAlign w:val="superscript"/>
        </w:rPr>
        <w:t>1</w:t>
      </w:r>
      <w:r w:rsidRPr="00004A23">
        <w:rPr>
          <w:szCs w:val="21"/>
        </w:rPr>
        <w:br/>
      </w:r>
      <w:r w:rsidRPr="00004A23">
        <w:rPr>
          <w:color w:val="1A1A1A"/>
          <w:szCs w:val="21"/>
        </w:rPr>
        <w:t>Ana Caroline Silva Silveira</w:t>
      </w:r>
      <w:r w:rsidRPr="00004A23">
        <w:rPr>
          <w:color w:val="1A1A1A"/>
          <w:szCs w:val="21"/>
          <w:vertAlign w:val="superscript"/>
        </w:rPr>
        <w:t>1</w:t>
      </w:r>
      <w:r w:rsidRPr="00004A23">
        <w:rPr>
          <w:szCs w:val="21"/>
        </w:rPr>
        <w:br/>
      </w:r>
      <w:r w:rsidRPr="00004A23">
        <w:rPr>
          <w:color w:val="1A1A1A"/>
          <w:szCs w:val="21"/>
        </w:rPr>
        <w:t>Giovana Barbosa Raphaelli</w:t>
      </w:r>
      <w:r w:rsidRPr="00004A23">
        <w:rPr>
          <w:color w:val="1A1A1A"/>
          <w:szCs w:val="21"/>
          <w:vertAlign w:val="superscript"/>
        </w:rPr>
        <w:t>1</w:t>
      </w:r>
      <w:r w:rsidRPr="00004A23">
        <w:rPr>
          <w:szCs w:val="21"/>
        </w:rPr>
        <w:br/>
      </w:r>
      <w:r w:rsidRPr="00004A23">
        <w:rPr>
          <w:color w:val="1A1A1A"/>
          <w:szCs w:val="21"/>
        </w:rPr>
        <w:t>Letícia Cunha Pereira Souza</w:t>
      </w:r>
      <w:r w:rsidRPr="00004A23">
        <w:rPr>
          <w:color w:val="1A1A1A"/>
          <w:szCs w:val="21"/>
          <w:vertAlign w:val="superscript"/>
        </w:rPr>
        <w:t>1</w:t>
      </w:r>
      <w:r w:rsidRPr="00004A23">
        <w:rPr>
          <w:szCs w:val="21"/>
        </w:rPr>
        <w:br/>
      </w:r>
      <w:r w:rsidRPr="00004A23">
        <w:rPr>
          <w:color w:val="1A1A1A"/>
          <w:szCs w:val="21"/>
        </w:rPr>
        <w:t>Diorlon Nunes Machado</w:t>
      </w:r>
      <w:r w:rsidRPr="00004A23">
        <w:rPr>
          <w:color w:val="1A1A1A"/>
          <w:szCs w:val="21"/>
          <w:vertAlign w:val="superscript"/>
        </w:rPr>
        <w:t>1</w:t>
      </w:r>
      <w:r w:rsidRPr="00004A23">
        <w:rPr>
          <w:szCs w:val="21"/>
        </w:rPr>
        <w:br/>
      </w:r>
      <w:r w:rsidRPr="00004A23">
        <w:rPr>
          <w:color w:val="1A1A1A"/>
          <w:szCs w:val="21"/>
        </w:rPr>
        <w:t>Mariana Costa Viana</w:t>
      </w:r>
      <w:r w:rsidRPr="00004A23">
        <w:rPr>
          <w:color w:val="1A1A1A"/>
          <w:szCs w:val="21"/>
          <w:vertAlign w:val="superscript"/>
        </w:rPr>
        <w:t>1</w:t>
      </w:r>
      <w:r w:rsidRPr="00004A23">
        <w:rPr>
          <w:szCs w:val="21"/>
        </w:rPr>
        <w:br/>
      </w:r>
      <w:r w:rsidRPr="00004A23">
        <w:rPr>
          <w:color w:val="1A1A1A"/>
          <w:szCs w:val="21"/>
        </w:rPr>
        <w:t>Mariana Cabral Lena</w:t>
      </w:r>
      <w:r w:rsidRPr="00004A23">
        <w:rPr>
          <w:color w:val="1A1A1A"/>
          <w:szCs w:val="21"/>
          <w:vertAlign w:val="superscript"/>
        </w:rPr>
        <w:t>1</w:t>
      </w:r>
      <w:r w:rsidRPr="00004A23">
        <w:rPr>
          <w:szCs w:val="21"/>
        </w:rPr>
        <w:br/>
      </w:r>
      <w:r w:rsidRPr="00004A23">
        <w:rPr>
          <w:color w:val="1A1A1A"/>
          <w:szCs w:val="21"/>
        </w:rPr>
        <w:t>Carlos Alexandre Neto</w:t>
      </w:r>
      <w:r w:rsidRPr="00004A23">
        <w:rPr>
          <w:color w:val="1A1A1A"/>
          <w:szCs w:val="21"/>
          <w:vertAlign w:val="superscript"/>
        </w:rPr>
        <w:t>1</w:t>
      </w:r>
      <w:r w:rsidRPr="00004A23">
        <w:rPr>
          <w:szCs w:val="21"/>
        </w:rPr>
        <w:br/>
      </w:r>
      <w:r w:rsidRPr="00004A23">
        <w:rPr>
          <w:color w:val="1A1A1A"/>
          <w:szCs w:val="21"/>
        </w:rPr>
        <w:t>Jade Oliveira</w:t>
      </w:r>
      <w:r w:rsidRPr="00004A23">
        <w:rPr>
          <w:color w:val="1A1A1A"/>
          <w:szCs w:val="21"/>
          <w:vertAlign w:val="superscript"/>
        </w:rPr>
        <w:t>1</w:t>
      </w:r>
      <w:r w:rsidRPr="00004A23">
        <w:rPr>
          <w:szCs w:val="21"/>
        </w:rPr>
        <w:br/>
      </w:r>
      <w:r w:rsidRPr="00004A23">
        <w:rPr>
          <w:color w:val="1A1A1A"/>
          <w:szCs w:val="21"/>
        </w:rPr>
        <w:t>Rachel Krolow Santos Silva Bast</w:t>
      </w:r>
      <w:r w:rsidRPr="00004A23">
        <w:rPr>
          <w:color w:val="1A1A1A"/>
          <w:szCs w:val="21"/>
          <w:vertAlign w:val="superscript"/>
        </w:rPr>
        <w:t>1</w:t>
      </w:r>
    </w:p>
    <w:p w:rsidR="000B5910" w:rsidRPr="00004A23" w:rsidRDefault="00057F5C" w:rsidP="00004A23">
      <w:pPr>
        <w:spacing w:before="200" w:after="100" w:line="240" w:lineRule="auto"/>
        <w:rPr>
          <w:sz w:val="22"/>
        </w:rPr>
      </w:pPr>
      <w:r w:rsidRPr="00004A23">
        <w:rPr>
          <w:b/>
          <w:color w:val="1A1A1A"/>
          <w:sz w:val="22"/>
        </w:rPr>
        <w:t>RESUMO</w:t>
      </w:r>
    </w:p>
    <w:p w:rsidR="000B5910" w:rsidRPr="00004A23" w:rsidRDefault="00057F5C" w:rsidP="00004A23">
      <w:pPr>
        <w:spacing w:after="80" w:line="240" w:lineRule="auto"/>
        <w:jc w:val="both"/>
        <w:rPr>
          <w:sz w:val="22"/>
        </w:rPr>
      </w:pPr>
      <w:r w:rsidRPr="00004A23">
        <w:rPr>
          <w:b/>
          <w:color w:val="1A1A1A"/>
          <w:sz w:val="22"/>
        </w:rPr>
        <w:t>Introdução</w:t>
      </w:r>
      <w:r w:rsidRPr="00004A23">
        <w:rPr>
          <w:color w:val="1A1A1A"/>
          <w:sz w:val="22"/>
        </w:rPr>
        <w:t xml:space="preserve">: O consumo de dietas ricas em gordura (DRG) é um modelo bem estabelecido na literatura para estudar </w:t>
      </w:r>
      <w:proofErr w:type="gramStart"/>
      <w:r w:rsidRPr="00004A23">
        <w:rPr>
          <w:color w:val="1A1A1A"/>
          <w:sz w:val="22"/>
        </w:rPr>
        <w:t>a</w:t>
      </w:r>
      <w:proofErr w:type="gramEnd"/>
      <w:r w:rsidRPr="00004A23">
        <w:rPr>
          <w:color w:val="1A1A1A"/>
          <w:sz w:val="22"/>
        </w:rPr>
        <w:t xml:space="preserve"> obesidade em modelo experimental. </w:t>
      </w:r>
      <w:proofErr w:type="gramStart"/>
      <w:r w:rsidRPr="00004A23">
        <w:rPr>
          <w:color w:val="1A1A1A"/>
          <w:sz w:val="22"/>
        </w:rPr>
        <w:t>A</w:t>
      </w:r>
      <w:proofErr w:type="gramEnd"/>
      <w:r w:rsidRPr="00004A23">
        <w:rPr>
          <w:color w:val="1A1A1A"/>
          <w:sz w:val="22"/>
        </w:rPr>
        <w:t xml:space="preserve"> exposição à DRG impacta fortemente o núcleo arqueado do hipotálamo (ARC), uma área encefálica muito importante para o controle do apetite, podendo desencadear ativação de vias de sinalização associadas à inflamação nesta área. Nesse contexto, a suplementação com azeite de oliva extravirgem (AO), devido às suas propriedades antioxidantes, anti-inflamatórias e neuroprotetoras, pode servir como uma estratégia nutricional interessante na tentativa de mitigar os efeitos causados pela exposição crônica à DRG. </w:t>
      </w:r>
      <w:r w:rsidRPr="00004A23">
        <w:rPr>
          <w:b/>
          <w:color w:val="1A1A1A"/>
          <w:sz w:val="22"/>
        </w:rPr>
        <w:t>Objetivo</w:t>
      </w:r>
      <w:r w:rsidRPr="00004A23">
        <w:rPr>
          <w:color w:val="1A1A1A"/>
          <w:sz w:val="22"/>
        </w:rPr>
        <w:t xml:space="preserve">: Avaliar os efeitos da suplementação com AO em ratos expostos à DRG sobre </w:t>
      </w:r>
      <w:proofErr w:type="gramStart"/>
      <w:r w:rsidRPr="00004A23">
        <w:rPr>
          <w:color w:val="1A1A1A"/>
          <w:sz w:val="22"/>
        </w:rPr>
        <w:t>a</w:t>
      </w:r>
      <w:proofErr w:type="gramEnd"/>
      <w:r w:rsidRPr="00004A23">
        <w:rPr>
          <w:color w:val="1A1A1A"/>
          <w:sz w:val="22"/>
        </w:rPr>
        <w:t xml:space="preserve"> inflamação no ARC. </w:t>
      </w:r>
      <w:r w:rsidRPr="00004A23">
        <w:rPr>
          <w:b/>
          <w:color w:val="1A1A1A"/>
          <w:sz w:val="22"/>
        </w:rPr>
        <w:t>Métodos:</w:t>
      </w:r>
      <w:r w:rsidRPr="00004A23">
        <w:rPr>
          <w:color w:val="1A1A1A"/>
          <w:sz w:val="22"/>
        </w:rPr>
        <w:t xml:space="preserve"> Aos 21 dias, ratos Wistar machos e fêmeas (CEUA-UFRGS 41855) foram alocados em 4 grupos recebendo: (1) ração padrão (RP); (2) RP + AO; (3) DRG e (4) DRG + AO. O AO foi administrado por gavagem oral diariamente na dose de 1,3mL/Kg de peso corporal. O consumo calórico e o peso corporal foram monitorados semanalmente. No ARC, mediu-se os níveis de interleucina (IL)-6, IL-1β e fator de necrose tumoral (TNF)-α pela técnica de ELISA. Ainda, avaliou-se </w:t>
      </w:r>
      <w:proofErr w:type="gramStart"/>
      <w:r w:rsidRPr="00004A23">
        <w:rPr>
          <w:color w:val="1A1A1A"/>
          <w:sz w:val="22"/>
        </w:rPr>
        <w:t>a</w:t>
      </w:r>
      <w:proofErr w:type="gramEnd"/>
      <w:r w:rsidRPr="00004A23">
        <w:rPr>
          <w:color w:val="1A1A1A"/>
          <w:sz w:val="22"/>
        </w:rPr>
        <w:t xml:space="preserve"> imunorreatividade da molécula adaptadora de ligação ao cálcio ionizado 1 (IBA-1), uma proteína expressa pela microglia, e do receptor tipo toll-like-4 (TLR-4) também no ARC.</w:t>
      </w:r>
      <w:r w:rsidRPr="00004A23">
        <w:rPr>
          <w:b/>
          <w:color w:val="1A1A1A"/>
          <w:sz w:val="22"/>
        </w:rPr>
        <w:t xml:space="preserve"> Resultados:</w:t>
      </w:r>
      <w:r w:rsidRPr="00004A23">
        <w:rPr>
          <w:color w:val="1A1A1A"/>
          <w:sz w:val="22"/>
        </w:rPr>
        <w:t xml:space="preserve"> O consumo calórico aumentou ao longo do tempo para ambos os sexos (p&lt;0,001) e os machos alimentados com DRG apresentaram maior consumo (p=0,007). Animais expostos à DRG exibiram maior ganho de peso (p=0,009 para machos, p=0,001 para fêmeas), o que foi prevenido na presença da suplementação com AO (p=0,001 para machos, p&lt;0,001 para fêmeas). No ARC, o grupo DRG+AO apresentou níveis mais baixos de IL-6 (p=0,006 para machos), IL-1β (p&lt;0,001 para machos, p=0,044 para fêmeas) e TNF-α (p=0,002 para machos, p=0,046 para fêmeas). Os machos alimentados com DRG apresentaram aumento da imunorreatividade do TLR-4 no ARC (p=0,045), prevenida pela suplementação de AO (p=0,017). Além disso, a suplementação com AO (p&lt;0,001) reduziu significativamente </w:t>
      </w:r>
      <w:proofErr w:type="gramStart"/>
      <w:r w:rsidRPr="00004A23">
        <w:rPr>
          <w:color w:val="1A1A1A"/>
          <w:sz w:val="22"/>
        </w:rPr>
        <w:t>a</w:t>
      </w:r>
      <w:proofErr w:type="gramEnd"/>
      <w:r w:rsidRPr="00004A23">
        <w:rPr>
          <w:color w:val="1A1A1A"/>
          <w:sz w:val="22"/>
        </w:rPr>
        <w:t xml:space="preserve"> imunorreatividade do IBA-1 no ARC. </w:t>
      </w:r>
      <w:r w:rsidRPr="00004A23">
        <w:rPr>
          <w:b/>
          <w:color w:val="1A1A1A"/>
          <w:sz w:val="22"/>
        </w:rPr>
        <w:t>Conclusão</w:t>
      </w:r>
      <w:r w:rsidRPr="00004A23">
        <w:rPr>
          <w:color w:val="1A1A1A"/>
          <w:sz w:val="22"/>
        </w:rPr>
        <w:t>: A suplementação com AO mostrou-se uma estratégia nutricional promissora, atenuando as consequências metabólicas e o contexto inflamatório causados ​​pela exposição à DRG em modelo experimental de obesidade.</w:t>
      </w:r>
    </w:p>
    <w:p w:rsidR="000B5910" w:rsidRDefault="000B5910">
      <w:pPr>
        <w:pBdr>
          <w:bottom w:val="single" w:sz="4" w:space="2" w:color="808080"/>
        </w:pBdr>
        <w:spacing w:before="120" w:after="40"/>
      </w:pPr>
    </w:p>
    <w:p w:rsidR="000B5910" w:rsidRPr="00004A23" w:rsidRDefault="00057F5C">
      <w:pPr>
        <w:spacing w:after="0" w:line="252" w:lineRule="auto"/>
        <w:rPr>
          <w:sz w:val="16"/>
          <w:szCs w:val="16"/>
        </w:rPr>
      </w:pPr>
      <w:r w:rsidRPr="00004A23">
        <w:rPr>
          <w:color w:val="595959"/>
          <w:sz w:val="16"/>
          <w:szCs w:val="16"/>
          <w:vertAlign w:val="superscript"/>
        </w:rPr>
        <w:t>1</w:t>
      </w:r>
      <w:r w:rsidRPr="00004A23">
        <w:rPr>
          <w:color w:val="595959"/>
          <w:sz w:val="16"/>
          <w:szCs w:val="16"/>
        </w:rPr>
        <w:t xml:space="preserve"> Universidade Federal Do Rio Grande Do Sul</w:t>
      </w:r>
    </w:p>
    <w:p w:rsidR="000B5910" w:rsidRDefault="000B5910">
      <w:pPr>
        <w:sectPr w:rsidR="000B5910">
          <w:headerReference w:type="default" r:id="rId281"/>
          <w:footerReference w:type="default" r:id="rId282"/>
          <w:pgSz w:w="12240" w:h="15840"/>
          <w:pgMar w:top="1417" w:right="1417" w:bottom="1417" w:left="1417" w:header="680" w:footer="680" w:gutter="0"/>
          <w:cols w:space="720"/>
        </w:sectPr>
      </w:pPr>
    </w:p>
    <w:p w:rsidR="000B5910" w:rsidRDefault="00057F5C" w:rsidP="00004A23">
      <w:pPr>
        <w:spacing w:before="80" w:after="160" w:line="240" w:lineRule="auto"/>
        <w:jc w:val="center"/>
        <w:rPr>
          <w:sz w:val="22"/>
          <w:szCs w:val="24"/>
        </w:rPr>
      </w:pPr>
      <w:r>
        <w:rPr>
          <w:b/>
          <w:color w:val="1A1A1A"/>
          <w:sz w:val="28"/>
          <w:szCs w:val="24"/>
        </w:rPr>
        <w:lastRenderedPageBreak/>
        <w:t xml:space="preserve">DESFECHOS DE SAÚDE EM CRIANÇAS E ADOLESCENTES COM SOBREPESO OU OBESIDADE EXPOSTOS </w:t>
      </w:r>
      <w:proofErr w:type="gramStart"/>
      <w:r>
        <w:rPr>
          <w:b/>
          <w:color w:val="1A1A1A"/>
          <w:sz w:val="28"/>
          <w:szCs w:val="24"/>
        </w:rPr>
        <w:t>A</w:t>
      </w:r>
      <w:proofErr w:type="gramEnd"/>
      <w:r>
        <w:rPr>
          <w:b/>
          <w:color w:val="1A1A1A"/>
          <w:sz w:val="28"/>
          <w:szCs w:val="24"/>
        </w:rPr>
        <w:t xml:space="preserve"> INTERVENÇÕES DE ATIVIDADE FÍSICA: UMA REVISÃO GUARDA-CHUVA ABRANGENDO MAIS DE 1200 ENSAIOS</w:t>
      </w:r>
    </w:p>
    <w:p w:rsidR="000B5910" w:rsidRPr="00004A23" w:rsidRDefault="00057F5C" w:rsidP="00004A23">
      <w:pPr>
        <w:spacing w:after="40" w:line="240" w:lineRule="auto"/>
        <w:jc w:val="right"/>
        <w:rPr>
          <w:szCs w:val="21"/>
        </w:rPr>
      </w:pPr>
      <w:r w:rsidRPr="00004A23">
        <w:rPr>
          <w:color w:val="1A1A1A"/>
          <w:szCs w:val="21"/>
        </w:rPr>
        <w:t>Fernanda Dias Massier</w:t>
      </w:r>
      <w:r w:rsidRPr="00004A23">
        <w:rPr>
          <w:color w:val="1A1A1A"/>
          <w:szCs w:val="21"/>
          <w:vertAlign w:val="superscript"/>
        </w:rPr>
        <w:t>1</w:t>
      </w:r>
      <w:r w:rsidRPr="00004A23">
        <w:rPr>
          <w:szCs w:val="21"/>
        </w:rPr>
        <w:br/>
      </w:r>
      <w:r w:rsidRPr="00004A23">
        <w:rPr>
          <w:color w:val="1A1A1A"/>
          <w:szCs w:val="21"/>
        </w:rPr>
        <w:t>Cíntia Ehlers Botton</w:t>
      </w:r>
      <w:r w:rsidRPr="00004A23">
        <w:rPr>
          <w:color w:val="1A1A1A"/>
          <w:szCs w:val="21"/>
          <w:vertAlign w:val="superscript"/>
        </w:rPr>
        <w:t>2</w:t>
      </w:r>
      <w:r w:rsidRPr="00004A23">
        <w:rPr>
          <w:szCs w:val="21"/>
        </w:rPr>
        <w:br/>
      </w:r>
      <w:r w:rsidRPr="00004A23">
        <w:rPr>
          <w:color w:val="1A1A1A"/>
          <w:szCs w:val="21"/>
        </w:rPr>
        <w:t>Jessica Pietra da Silva Carvalho</w:t>
      </w:r>
      <w:r w:rsidRPr="00004A23">
        <w:rPr>
          <w:color w:val="1A1A1A"/>
          <w:szCs w:val="21"/>
          <w:vertAlign w:val="superscript"/>
        </w:rPr>
        <w:t>1</w:t>
      </w:r>
      <w:r w:rsidRPr="00004A23">
        <w:rPr>
          <w:szCs w:val="21"/>
        </w:rPr>
        <w:br/>
      </w:r>
      <w:r w:rsidRPr="00004A23">
        <w:rPr>
          <w:color w:val="1A1A1A"/>
          <w:szCs w:val="21"/>
        </w:rPr>
        <w:t>Gisele Cassão</w:t>
      </w:r>
      <w:r w:rsidRPr="00004A23">
        <w:rPr>
          <w:color w:val="1A1A1A"/>
          <w:szCs w:val="21"/>
          <w:vertAlign w:val="superscript"/>
        </w:rPr>
        <w:t>3</w:t>
      </w:r>
      <w:r w:rsidRPr="00004A23">
        <w:rPr>
          <w:szCs w:val="21"/>
        </w:rPr>
        <w:br/>
      </w:r>
      <w:r w:rsidRPr="00004A23">
        <w:rPr>
          <w:color w:val="1A1A1A"/>
          <w:szCs w:val="21"/>
        </w:rPr>
        <w:t>Angélica Trevisan de Nardi</w:t>
      </w:r>
      <w:r w:rsidRPr="00004A23">
        <w:rPr>
          <w:color w:val="1A1A1A"/>
          <w:szCs w:val="21"/>
          <w:vertAlign w:val="superscript"/>
        </w:rPr>
        <w:t>3</w:t>
      </w:r>
      <w:r w:rsidRPr="00004A23">
        <w:rPr>
          <w:szCs w:val="21"/>
        </w:rPr>
        <w:br/>
      </w:r>
      <w:r w:rsidRPr="00004A23">
        <w:rPr>
          <w:color w:val="1A1A1A"/>
          <w:szCs w:val="21"/>
        </w:rPr>
        <w:t>Jayne Feter</w:t>
      </w:r>
      <w:r w:rsidRPr="00004A23">
        <w:rPr>
          <w:color w:val="1A1A1A"/>
          <w:szCs w:val="21"/>
          <w:vertAlign w:val="superscript"/>
        </w:rPr>
        <w:t>1</w:t>
      </w:r>
      <w:r w:rsidRPr="00004A23">
        <w:rPr>
          <w:szCs w:val="21"/>
        </w:rPr>
        <w:br/>
      </w:r>
      <w:r w:rsidRPr="00004A23">
        <w:rPr>
          <w:color w:val="1A1A1A"/>
          <w:szCs w:val="21"/>
        </w:rPr>
        <w:t>Andresa Conrado Ignacio</w:t>
      </w:r>
      <w:r w:rsidRPr="00004A23">
        <w:rPr>
          <w:color w:val="1A1A1A"/>
          <w:szCs w:val="21"/>
          <w:vertAlign w:val="superscript"/>
        </w:rPr>
        <w:t>1</w:t>
      </w:r>
      <w:r w:rsidRPr="00004A23">
        <w:rPr>
          <w:szCs w:val="21"/>
        </w:rPr>
        <w:br/>
      </w:r>
      <w:r w:rsidRPr="00004A23">
        <w:rPr>
          <w:color w:val="1A1A1A"/>
          <w:szCs w:val="21"/>
        </w:rPr>
        <w:t>Rodrigo Leal-Menezes</w:t>
      </w:r>
      <w:r w:rsidRPr="00004A23">
        <w:rPr>
          <w:color w:val="1A1A1A"/>
          <w:szCs w:val="21"/>
          <w:vertAlign w:val="superscript"/>
        </w:rPr>
        <w:t>1</w:t>
      </w:r>
      <w:r w:rsidRPr="00004A23">
        <w:rPr>
          <w:szCs w:val="21"/>
        </w:rPr>
        <w:br/>
      </w:r>
      <w:r w:rsidRPr="00004A23">
        <w:rPr>
          <w:color w:val="1A1A1A"/>
          <w:szCs w:val="21"/>
        </w:rPr>
        <w:t>Nórton Luís Oliveira</w:t>
      </w:r>
      <w:r w:rsidRPr="00004A23">
        <w:rPr>
          <w:color w:val="1A1A1A"/>
          <w:szCs w:val="21"/>
          <w:vertAlign w:val="superscript"/>
        </w:rPr>
        <w:t>3</w:t>
      </w:r>
      <w:r w:rsidRPr="00004A23">
        <w:rPr>
          <w:szCs w:val="21"/>
        </w:rPr>
        <w:br/>
      </w:r>
      <w:r w:rsidRPr="00004A23">
        <w:rPr>
          <w:color w:val="1A1A1A"/>
          <w:szCs w:val="21"/>
        </w:rPr>
        <w:t>Lucineia Orsolin Pfeifer</w:t>
      </w:r>
      <w:r w:rsidRPr="00004A23">
        <w:rPr>
          <w:color w:val="1A1A1A"/>
          <w:szCs w:val="21"/>
          <w:vertAlign w:val="superscript"/>
        </w:rPr>
        <w:t>3</w:t>
      </w:r>
      <w:r w:rsidRPr="00004A23">
        <w:rPr>
          <w:szCs w:val="21"/>
        </w:rPr>
        <w:br/>
      </w:r>
      <w:r w:rsidRPr="00004A23">
        <w:rPr>
          <w:color w:val="1A1A1A"/>
          <w:szCs w:val="21"/>
        </w:rPr>
        <w:t>Leandro Dos Santos</w:t>
      </w:r>
      <w:r w:rsidRPr="00004A23">
        <w:rPr>
          <w:color w:val="1A1A1A"/>
          <w:szCs w:val="21"/>
          <w:vertAlign w:val="superscript"/>
        </w:rPr>
        <w:t>1</w:t>
      </w:r>
      <w:r w:rsidRPr="00004A23">
        <w:rPr>
          <w:szCs w:val="21"/>
        </w:rPr>
        <w:br/>
      </w:r>
      <w:r w:rsidRPr="00004A23">
        <w:rPr>
          <w:color w:val="1A1A1A"/>
          <w:szCs w:val="21"/>
        </w:rPr>
        <w:t>Lucas Porto Santos</w:t>
      </w:r>
      <w:r w:rsidRPr="00004A23">
        <w:rPr>
          <w:color w:val="1A1A1A"/>
          <w:szCs w:val="21"/>
          <w:vertAlign w:val="superscript"/>
        </w:rPr>
        <w:t>4</w:t>
      </w:r>
      <w:r w:rsidRPr="00004A23">
        <w:rPr>
          <w:szCs w:val="21"/>
        </w:rPr>
        <w:br/>
      </w:r>
      <w:r w:rsidRPr="00004A23">
        <w:rPr>
          <w:color w:val="1A1A1A"/>
          <w:szCs w:val="21"/>
        </w:rPr>
        <w:t>Larissa Xavier Neves da Silva</w:t>
      </w:r>
      <w:r w:rsidRPr="00004A23">
        <w:rPr>
          <w:color w:val="1A1A1A"/>
          <w:szCs w:val="21"/>
          <w:vertAlign w:val="superscript"/>
        </w:rPr>
        <w:t>3</w:t>
      </w:r>
      <w:r w:rsidRPr="00004A23">
        <w:rPr>
          <w:szCs w:val="21"/>
        </w:rPr>
        <w:br/>
      </w:r>
      <w:r w:rsidRPr="00004A23">
        <w:rPr>
          <w:color w:val="1A1A1A"/>
          <w:szCs w:val="21"/>
        </w:rPr>
        <w:t>Luciana Dos Passos Silva</w:t>
      </w:r>
      <w:r w:rsidRPr="00004A23">
        <w:rPr>
          <w:color w:val="1A1A1A"/>
          <w:szCs w:val="21"/>
          <w:vertAlign w:val="superscript"/>
        </w:rPr>
        <w:t>1</w:t>
      </w:r>
      <w:r w:rsidRPr="00004A23">
        <w:rPr>
          <w:szCs w:val="21"/>
        </w:rPr>
        <w:br/>
      </w:r>
      <w:r w:rsidRPr="00004A23">
        <w:rPr>
          <w:color w:val="1A1A1A"/>
          <w:szCs w:val="21"/>
        </w:rPr>
        <w:t>Frederico Morais Schwingel</w:t>
      </w:r>
      <w:r w:rsidRPr="00004A23">
        <w:rPr>
          <w:color w:val="1A1A1A"/>
          <w:szCs w:val="21"/>
          <w:vertAlign w:val="superscript"/>
        </w:rPr>
        <w:t>5</w:t>
      </w:r>
      <w:r w:rsidRPr="00004A23">
        <w:rPr>
          <w:szCs w:val="21"/>
        </w:rPr>
        <w:br/>
      </w:r>
      <w:r w:rsidRPr="00004A23">
        <w:rPr>
          <w:color w:val="1A1A1A"/>
          <w:szCs w:val="21"/>
        </w:rPr>
        <w:t>Carolina Weingärtner Welter</w:t>
      </w:r>
      <w:r w:rsidRPr="00004A23">
        <w:rPr>
          <w:color w:val="1A1A1A"/>
          <w:szCs w:val="21"/>
          <w:vertAlign w:val="superscript"/>
        </w:rPr>
        <w:t>6</w:t>
      </w:r>
      <w:r w:rsidRPr="00004A23">
        <w:rPr>
          <w:szCs w:val="21"/>
        </w:rPr>
        <w:br/>
      </w:r>
      <w:r w:rsidRPr="00004A23">
        <w:rPr>
          <w:color w:val="1A1A1A"/>
          <w:szCs w:val="21"/>
        </w:rPr>
        <w:t>Daniel Umpierre</w:t>
      </w:r>
      <w:r w:rsidRPr="00004A23">
        <w:rPr>
          <w:color w:val="1A1A1A"/>
          <w:szCs w:val="21"/>
          <w:vertAlign w:val="superscript"/>
        </w:rPr>
        <w:t>1</w:t>
      </w:r>
    </w:p>
    <w:p w:rsidR="000B5910" w:rsidRDefault="00057F5C" w:rsidP="00004A23">
      <w:pPr>
        <w:spacing w:before="160" w:after="100" w:line="240" w:lineRule="auto"/>
      </w:pPr>
      <w:r>
        <w:rPr>
          <w:b/>
          <w:color w:val="1A1A1A"/>
          <w:sz w:val="22"/>
          <w:szCs w:val="24"/>
        </w:rPr>
        <w:t>RESUMO</w:t>
      </w:r>
    </w:p>
    <w:p w:rsidR="000B5910" w:rsidRPr="00004A23" w:rsidRDefault="00057F5C" w:rsidP="00004A23">
      <w:pPr>
        <w:spacing w:after="80" w:line="240" w:lineRule="auto"/>
        <w:jc w:val="both"/>
        <w:rPr>
          <w:sz w:val="22"/>
        </w:rPr>
      </w:pPr>
      <w:r w:rsidRPr="00004A23">
        <w:rPr>
          <w:b/>
          <w:color w:val="1A1A1A"/>
          <w:sz w:val="22"/>
        </w:rPr>
        <w:t xml:space="preserve">Introdução: </w:t>
      </w:r>
      <w:r w:rsidRPr="00004A23">
        <w:rPr>
          <w:color w:val="1A1A1A"/>
          <w:sz w:val="22"/>
        </w:rPr>
        <w:t xml:space="preserve">A obesidade na infância e adolescência constitui importante fator de risco para desfechos adversos em saúde. A padronização das medidas de desfecho em intervenções de atividade física é fundamental para aprimorar a comparabilidade e a síntese das evidências científicas. </w:t>
      </w:r>
      <w:r w:rsidRPr="00004A23">
        <w:rPr>
          <w:b/>
          <w:color w:val="1A1A1A"/>
          <w:sz w:val="22"/>
        </w:rPr>
        <w:t xml:space="preserve">Objetivo: </w:t>
      </w:r>
      <w:r w:rsidRPr="00004A23">
        <w:rPr>
          <w:color w:val="1A1A1A"/>
          <w:sz w:val="22"/>
        </w:rPr>
        <w:t xml:space="preserve">O presente estudo teve como objetivo sintetizar os desfechos em saúde reportados em revisões sistemáticas e classificá-los de acordo com uma taxonomia previamente estabelecida, como etapa preliminar para o desenvolvimento futuro de um Conjunto de Desfechos Principais (Core Outcome Set). </w:t>
      </w:r>
      <w:r w:rsidRPr="00004A23">
        <w:rPr>
          <w:b/>
          <w:color w:val="1A1A1A"/>
          <w:sz w:val="22"/>
        </w:rPr>
        <w:t xml:space="preserve">Métodos: </w:t>
      </w:r>
      <w:r w:rsidRPr="00004A23">
        <w:rPr>
          <w:color w:val="1A1A1A"/>
          <w:sz w:val="22"/>
        </w:rPr>
        <w:t xml:space="preserve">Foram elegíveis revisões sistemáticas, com ou sem metanálise, que incluíram crianças e adolescentes (4–19 anos) com sobrepeso ou obesidade e que reportaram desfechos em saúde decorrentes de intervenções de atividade física. </w:t>
      </w:r>
      <w:proofErr w:type="gramStart"/>
      <w:r w:rsidRPr="00004A23">
        <w:rPr>
          <w:color w:val="1A1A1A"/>
          <w:sz w:val="22"/>
        </w:rPr>
        <w:t>A</w:t>
      </w:r>
      <w:proofErr w:type="gramEnd"/>
      <w:r w:rsidRPr="00004A23">
        <w:rPr>
          <w:color w:val="1A1A1A"/>
          <w:sz w:val="22"/>
        </w:rPr>
        <w:t xml:space="preserve"> extração dos dados foi realizada de forma independente por pares de revisores, contemplando características metodológicas dos estudos, detalhes das intervenções, características demográficas dos participantes e desfechos avaliados. Os desfechos foram categorizados em domínios com base em taxonomia preexistente. </w:t>
      </w:r>
      <w:r w:rsidRPr="00004A23">
        <w:rPr>
          <w:b/>
          <w:color w:val="1A1A1A"/>
          <w:sz w:val="22"/>
        </w:rPr>
        <w:t xml:space="preserve">Resultados: </w:t>
      </w:r>
      <w:r w:rsidRPr="00004A23">
        <w:rPr>
          <w:color w:val="1A1A1A"/>
          <w:sz w:val="22"/>
        </w:rPr>
        <w:t xml:space="preserve">A revisão identificou desfechos prioritários relacionados à composição corporal, perfil lipídico, pressão arterial e aptidão/funcionamento físico. Entre os desfechos de composição corporal, os mais frequentemente reportados foram índice de massa corporal (IMC), peso corporal e percentual de gordura corporal. No domínio do perfil lipídico, destacaram-se lipoproteína de alta densidade (HDL), colesterol total e lipoproteína de baixa densidade (LDL). Os desfechos relativos à pressão arterial incluíram medidas de pressão arterial sistólica e diastólica. O funcionamento físico foi predominantemente avaliado pelo tempo em atividade física. Das 137 revisões incluídas, foram extraídos 841 desfechos, correspondendo a 169 desfechos distintos distribuídos em 16 domínios. Os desfechos únicos mais frequentemente reportados foram IMC (52,6%), peso corporal, gordura corporal, HDL e pressão arterial sistólica. </w:t>
      </w:r>
      <w:r w:rsidRPr="00004A23">
        <w:rPr>
          <w:b/>
          <w:color w:val="1A1A1A"/>
          <w:sz w:val="22"/>
        </w:rPr>
        <w:t xml:space="preserve">Conclusão: </w:t>
      </w:r>
      <w:r w:rsidRPr="00004A23">
        <w:rPr>
          <w:color w:val="1A1A1A"/>
          <w:sz w:val="22"/>
        </w:rPr>
        <w:t>Os achados evidenciam a necessidade de estabelecer um Conjunto de Desfechos Principais, visando à padronização e à harmonização dos desfechos utilizados em intervenções de atividade física direcionadas a crianças e adolescentes com sobrepeso ou obesidade.</w:t>
      </w:r>
    </w:p>
    <w:p w:rsidR="000B5910" w:rsidRDefault="000B5910" w:rsidP="00004A23">
      <w:pPr>
        <w:pBdr>
          <w:bottom w:val="single" w:sz="4" w:space="2" w:color="808080"/>
        </w:pBdr>
        <w:spacing w:before="80" w:after="40" w:line="240" w:lineRule="auto"/>
        <w:rPr>
          <w:sz w:val="16"/>
          <w:szCs w:val="16"/>
        </w:rPr>
      </w:pPr>
    </w:p>
    <w:p w:rsidR="000B5910" w:rsidRPr="00004A23" w:rsidRDefault="00057F5C" w:rsidP="00004A23">
      <w:pPr>
        <w:spacing w:after="0" w:line="240" w:lineRule="auto"/>
        <w:rPr>
          <w:sz w:val="16"/>
          <w:szCs w:val="16"/>
        </w:rPr>
      </w:pPr>
      <w:r w:rsidRPr="00004A23">
        <w:rPr>
          <w:color w:val="595959"/>
          <w:sz w:val="16"/>
          <w:szCs w:val="16"/>
          <w:vertAlign w:val="superscript"/>
        </w:rPr>
        <w:lastRenderedPageBreak/>
        <w:t>1</w:t>
      </w:r>
      <w:r w:rsidRPr="00004A23">
        <w:rPr>
          <w:color w:val="595959"/>
          <w:sz w:val="16"/>
          <w:szCs w:val="16"/>
        </w:rPr>
        <w:t xml:space="preserve"> Universidade Federal do Rio Grande do Sul (UFRGS</w:t>
      </w:r>
    </w:p>
    <w:p w:rsidR="000B5910" w:rsidRPr="00004A23" w:rsidRDefault="00057F5C" w:rsidP="00004A23">
      <w:pPr>
        <w:spacing w:after="0" w:line="240" w:lineRule="auto"/>
        <w:rPr>
          <w:sz w:val="16"/>
          <w:szCs w:val="16"/>
        </w:rPr>
      </w:pPr>
      <w:r w:rsidRPr="00004A23">
        <w:rPr>
          <w:color w:val="595959"/>
          <w:sz w:val="16"/>
          <w:szCs w:val="16"/>
          <w:vertAlign w:val="superscript"/>
        </w:rPr>
        <w:t>2</w:t>
      </w:r>
      <w:r w:rsidRPr="00004A23">
        <w:rPr>
          <w:color w:val="595959"/>
          <w:sz w:val="16"/>
          <w:szCs w:val="16"/>
        </w:rPr>
        <w:t xml:space="preserve"> Universidade Federal do Ceará (UFC</w:t>
      </w:r>
    </w:p>
    <w:p w:rsidR="000B5910" w:rsidRPr="00004A23" w:rsidRDefault="00057F5C" w:rsidP="00004A23">
      <w:pPr>
        <w:spacing w:after="0" w:line="240" w:lineRule="auto"/>
        <w:rPr>
          <w:sz w:val="16"/>
          <w:szCs w:val="16"/>
        </w:rPr>
      </w:pPr>
      <w:r w:rsidRPr="00004A23">
        <w:rPr>
          <w:color w:val="595959"/>
          <w:sz w:val="16"/>
          <w:szCs w:val="16"/>
          <w:vertAlign w:val="superscript"/>
        </w:rPr>
        <w:t>3</w:t>
      </w:r>
      <w:r w:rsidRPr="00004A23">
        <w:rPr>
          <w:color w:val="595959"/>
          <w:sz w:val="16"/>
          <w:szCs w:val="16"/>
        </w:rPr>
        <w:t xml:space="preserve"> LADD, Hospital de Clínicas de Porto Alegre</w:t>
      </w:r>
    </w:p>
    <w:p w:rsidR="000B5910" w:rsidRPr="00004A23" w:rsidRDefault="00057F5C" w:rsidP="00004A23">
      <w:pPr>
        <w:spacing w:after="0" w:line="240" w:lineRule="auto"/>
        <w:rPr>
          <w:sz w:val="16"/>
          <w:szCs w:val="16"/>
        </w:rPr>
      </w:pPr>
      <w:r w:rsidRPr="00004A23">
        <w:rPr>
          <w:color w:val="595959"/>
          <w:sz w:val="16"/>
          <w:szCs w:val="16"/>
          <w:vertAlign w:val="superscript"/>
        </w:rPr>
        <w:t>4</w:t>
      </w:r>
      <w:r w:rsidRPr="00004A23">
        <w:rPr>
          <w:color w:val="595959"/>
          <w:sz w:val="16"/>
          <w:szCs w:val="16"/>
        </w:rPr>
        <w:t xml:space="preserve"> Universidade de São Paulo (USP</w:t>
      </w:r>
    </w:p>
    <w:p w:rsidR="000B5910" w:rsidRPr="00004A23" w:rsidRDefault="00057F5C" w:rsidP="00004A23">
      <w:pPr>
        <w:spacing w:after="0" w:line="240" w:lineRule="auto"/>
        <w:rPr>
          <w:sz w:val="16"/>
          <w:szCs w:val="16"/>
        </w:rPr>
      </w:pPr>
      <w:r w:rsidRPr="00004A23">
        <w:rPr>
          <w:color w:val="595959"/>
          <w:sz w:val="16"/>
          <w:szCs w:val="16"/>
          <w:vertAlign w:val="superscript"/>
        </w:rPr>
        <w:t>5</w:t>
      </w:r>
      <w:r w:rsidRPr="00004A23">
        <w:rPr>
          <w:color w:val="595959"/>
          <w:sz w:val="16"/>
          <w:szCs w:val="16"/>
        </w:rPr>
        <w:t xml:space="preserve"> Pontifícia Universidade Católica do Rio Grande do Sul (PUCRS</w:t>
      </w:r>
    </w:p>
    <w:p w:rsidR="000B5910" w:rsidRPr="00004A23" w:rsidRDefault="00057F5C" w:rsidP="00004A23">
      <w:pPr>
        <w:spacing w:after="0" w:line="240" w:lineRule="auto"/>
        <w:rPr>
          <w:sz w:val="16"/>
          <w:szCs w:val="16"/>
        </w:rPr>
      </w:pPr>
      <w:r w:rsidRPr="00004A23">
        <w:rPr>
          <w:color w:val="595959"/>
          <w:sz w:val="16"/>
          <w:szCs w:val="16"/>
          <w:vertAlign w:val="superscript"/>
        </w:rPr>
        <w:t>6</w:t>
      </w:r>
      <w:r w:rsidRPr="00004A23">
        <w:rPr>
          <w:color w:val="595959"/>
          <w:sz w:val="16"/>
          <w:szCs w:val="16"/>
        </w:rPr>
        <w:t xml:space="preserve"> Universidade Federal de Santa Maria (UFSM</w:t>
      </w:r>
    </w:p>
    <w:p w:rsidR="000B5910" w:rsidRDefault="000B5910">
      <w:pPr>
        <w:sectPr w:rsidR="000B5910">
          <w:headerReference w:type="default" r:id="rId283"/>
          <w:footerReference w:type="default" r:id="rId284"/>
          <w:pgSz w:w="12240" w:h="15840"/>
          <w:pgMar w:top="1417" w:right="1417" w:bottom="1417" w:left="1417" w:header="680" w:footer="680" w:gutter="0"/>
          <w:cols w:space="720"/>
        </w:sectPr>
      </w:pPr>
    </w:p>
    <w:p w:rsidR="000B5910" w:rsidRDefault="00057F5C" w:rsidP="00004A23">
      <w:pPr>
        <w:spacing w:before="80" w:line="240" w:lineRule="auto"/>
        <w:jc w:val="center"/>
        <w:rPr>
          <w:sz w:val="22"/>
          <w:szCs w:val="24"/>
        </w:rPr>
      </w:pPr>
      <w:r>
        <w:rPr>
          <w:b/>
          <w:color w:val="1A1A1A"/>
          <w:sz w:val="28"/>
          <w:szCs w:val="24"/>
        </w:rPr>
        <w:lastRenderedPageBreak/>
        <w:t>MUDANÇAS NA AUTOPERCEPÇÃO DA QUALIDADE DA DIETA PREDIZEM PERDA DE PESO APÓS SEIS MESES DE ACONSELHAMENTO NUTRICIONAL: ANÁLISE SECUNDÁRIA DE DOIS ENSAIOS CLÍNICOS RANDOMIZADOS</w:t>
      </w:r>
    </w:p>
    <w:p w:rsidR="000B5910" w:rsidRPr="00004A23" w:rsidRDefault="00057F5C" w:rsidP="00004A23">
      <w:pPr>
        <w:spacing w:after="40" w:line="240" w:lineRule="auto"/>
        <w:jc w:val="right"/>
        <w:rPr>
          <w:szCs w:val="21"/>
        </w:rPr>
      </w:pPr>
      <w:r w:rsidRPr="00004A23">
        <w:rPr>
          <w:color w:val="1A1A1A"/>
          <w:szCs w:val="21"/>
        </w:rPr>
        <w:t>Jussara Carnevale de Almeida</w:t>
      </w:r>
      <w:r w:rsidRPr="00004A23">
        <w:rPr>
          <w:color w:val="1A1A1A"/>
          <w:szCs w:val="21"/>
          <w:vertAlign w:val="superscript"/>
        </w:rPr>
        <w:t>1</w:t>
      </w:r>
      <w:r w:rsidRPr="00004A23">
        <w:rPr>
          <w:szCs w:val="21"/>
        </w:rPr>
        <w:br/>
      </w:r>
      <w:r w:rsidRPr="00004A23">
        <w:rPr>
          <w:color w:val="1A1A1A"/>
          <w:szCs w:val="21"/>
        </w:rPr>
        <w:t>Tainara Aloy dos Santos</w:t>
      </w:r>
      <w:r w:rsidRPr="00004A23">
        <w:rPr>
          <w:color w:val="1A1A1A"/>
          <w:szCs w:val="21"/>
          <w:vertAlign w:val="superscript"/>
        </w:rPr>
        <w:t>2</w:t>
      </w:r>
      <w:r w:rsidRPr="00004A23">
        <w:rPr>
          <w:szCs w:val="21"/>
        </w:rPr>
        <w:br/>
      </w:r>
      <w:r w:rsidRPr="00004A23">
        <w:rPr>
          <w:color w:val="1A1A1A"/>
          <w:szCs w:val="21"/>
        </w:rPr>
        <w:t>Victória Silva Chites</w:t>
      </w:r>
      <w:r w:rsidRPr="00004A23">
        <w:rPr>
          <w:color w:val="1A1A1A"/>
          <w:szCs w:val="21"/>
          <w:vertAlign w:val="superscript"/>
        </w:rPr>
        <w:t>2</w:t>
      </w:r>
      <w:r w:rsidRPr="00004A23">
        <w:rPr>
          <w:szCs w:val="21"/>
        </w:rPr>
        <w:br/>
      </w:r>
      <w:r w:rsidRPr="00004A23">
        <w:rPr>
          <w:color w:val="1A1A1A"/>
          <w:szCs w:val="21"/>
        </w:rPr>
        <w:t>Aline Busanello</w:t>
      </w:r>
      <w:r w:rsidRPr="00004A23">
        <w:rPr>
          <w:color w:val="1A1A1A"/>
          <w:szCs w:val="21"/>
          <w:vertAlign w:val="superscript"/>
        </w:rPr>
        <w:t>2</w:t>
      </w:r>
      <w:r w:rsidRPr="00004A23">
        <w:rPr>
          <w:szCs w:val="21"/>
        </w:rPr>
        <w:br/>
      </w:r>
      <w:r w:rsidRPr="00004A23">
        <w:rPr>
          <w:color w:val="1A1A1A"/>
          <w:szCs w:val="21"/>
        </w:rPr>
        <w:t>Bárbara Pelicioli Riboldi</w:t>
      </w:r>
      <w:r w:rsidRPr="00004A23">
        <w:rPr>
          <w:color w:val="1A1A1A"/>
          <w:szCs w:val="21"/>
          <w:vertAlign w:val="superscript"/>
        </w:rPr>
        <w:t>2</w:t>
      </w:r>
      <w:r w:rsidRPr="00004A23">
        <w:rPr>
          <w:szCs w:val="21"/>
        </w:rPr>
        <w:br/>
      </w:r>
      <w:r w:rsidRPr="00004A23">
        <w:rPr>
          <w:color w:val="1A1A1A"/>
          <w:szCs w:val="21"/>
        </w:rPr>
        <w:t>Aline Marcadenti</w:t>
      </w:r>
      <w:r w:rsidRPr="00004A23">
        <w:rPr>
          <w:color w:val="1A1A1A"/>
          <w:szCs w:val="21"/>
          <w:vertAlign w:val="superscript"/>
        </w:rPr>
        <w:t>3</w:t>
      </w:r>
      <w:r w:rsidRPr="00004A23">
        <w:rPr>
          <w:szCs w:val="21"/>
        </w:rPr>
        <w:br/>
      </w:r>
      <w:r w:rsidRPr="00004A23">
        <w:rPr>
          <w:color w:val="1A1A1A"/>
          <w:szCs w:val="21"/>
        </w:rPr>
        <w:t>Ângela Cristine Bersch-Ferreira</w:t>
      </w:r>
      <w:r w:rsidRPr="00004A23">
        <w:rPr>
          <w:color w:val="1A1A1A"/>
          <w:szCs w:val="21"/>
          <w:vertAlign w:val="superscript"/>
        </w:rPr>
        <w:t>4</w:t>
      </w:r>
      <w:r w:rsidRPr="00004A23">
        <w:rPr>
          <w:szCs w:val="21"/>
        </w:rPr>
        <w:br/>
      </w:r>
      <w:r w:rsidRPr="00004A23">
        <w:rPr>
          <w:color w:val="1A1A1A"/>
          <w:szCs w:val="21"/>
        </w:rPr>
        <w:t>Rachel H. Vieira Machado</w:t>
      </w:r>
      <w:r w:rsidRPr="00004A23">
        <w:rPr>
          <w:color w:val="1A1A1A"/>
          <w:szCs w:val="21"/>
          <w:vertAlign w:val="superscript"/>
        </w:rPr>
        <w:t>4</w:t>
      </w:r>
      <w:r w:rsidRPr="00004A23">
        <w:rPr>
          <w:szCs w:val="21"/>
        </w:rPr>
        <w:br/>
      </w:r>
      <w:r w:rsidRPr="00004A23">
        <w:rPr>
          <w:color w:val="1A1A1A"/>
          <w:szCs w:val="21"/>
        </w:rPr>
        <w:t>Dirce Maria Lobo Marchioni</w:t>
      </w:r>
      <w:r w:rsidRPr="00004A23">
        <w:rPr>
          <w:color w:val="1A1A1A"/>
          <w:szCs w:val="21"/>
          <w:vertAlign w:val="superscript"/>
        </w:rPr>
        <w:t>5</w:t>
      </w:r>
    </w:p>
    <w:p w:rsidR="000B5910" w:rsidRDefault="00057F5C" w:rsidP="00004A23">
      <w:pPr>
        <w:spacing w:before="200" w:after="100" w:line="240" w:lineRule="auto"/>
      </w:pPr>
      <w:r>
        <w:rPr>
          <w:b/>
          <w:color w:val="1A1A1A"/>
          <w:sz w:val="22"/>
          <w:szCs w:val="24"/>
        </w:rPr>
        <w:t>RESUMO</w:t>
      </w:r>
    </w:p>
    <w:p w:rsidR="000B5910" w:rsidRPr="00004A23" w:rsidRDefault="00057F5C" w:rsidP="00004A23">
      <w:pPr>
        <w:spacing w:after="80" w:line="240" w:lineRule="auto"/>
        <w:jc w:val="both"/>
        <w:rPr>
          <w:sz w:val="22"/>
        </w:rPr>
      </w:pPr>
      <w:r w:rsidRPr="00004A23">
        <w:rPr>
          <w:b/>
          <w:color w:val="1A1A1A"/>
          <w:sz w:val="22"/>
        </w:rPr>
        <w:t>Introdução:</w:t>
      </w:r>
      <w:r w:rsidRPr="00004A23">
        <w:rPr>
          <w:color w:val="1A1A1A"/>
          <w:sz w:val="22"/>
        </w:rPr>
        <w:t xml:space="preserve"> Doenças cardiovasculares são a principal causa de mortalidade global. Entre os fatores de risco modificáveis, hábitos alimentares desempenham papel central na carga dessas doenças, tornando o aconselhamento nutricional uma estratégia fundamental para promover mudanças alimentares sustentáveis. A Teia Alimentar para a Saúde Cardiovascular foi desenvolvida para ampliar a consciência dos indivíduos para suas escolhas alimentares a partir da autopercepção da qualidade durante o aconselhamento nutricional. Estudos prévios demonstraram validade e confiabilidade adequadas da ferramenta, além de associação com maior qualidade da dieta, mas ainda é necessário investigar se mudanças na autopercepção da qualidade da dieta refletem modificações comportamentais ao longo do tempo e benefícios metabólicos.</w:t>
      </w:r>
      <w:r w:rsidRPr="00004A23">
        <w:rPr>
          <w:b/>
          <w:color w:val="1A1A1A"/>
          <w:sz w:val="22"/>
        </w:rPr>
        <w:t xml:space="preserve"> Objetivo:</w:t>
      </w:r>
      <w:r w:rsidRPr="00004A23">
        <w:rPr>
          <w:color w:val="1A1A1A"/>
          <w:sz w:val="22"/>
        </w:rPr>
        <w:t xml:space="preserve"> Investigar se mudanças na autopercepção da qualidade da dieta estão associadas a melhorias em parâmetros metabólicos em indivíduos com alto risco para eventos cardiovasculares. </w:t>
      </w:r>
      <w:r w:rsidRPr="00004A23">
        <w:rPr>
          <w:b/>
          <w:color w:val="1A1A1A"/>
          <w:sz w:val="22"/>
        </w:rPr>
        <w:t>Métodos</w:t>
      </w:r>
      <w:r w:rsidRPr="00004A23">
        <w:rPr>
          <w:color w:val="1A1A1A"/>
          <w:sz w:val="22"/>
        </w:rPr>
        <w:t xml:space="preserve">: Análise secundária de dados da linha de base e após 6 meses de aconselhamento nutricional em adultos com alto risco cardiovascular que participaram do grupo intervenção de 2 ensaios clínicos randomizados (NCT03793855 e NCT03793881) realizados entre 2019 e 2021. Risco cardiovascular foi avaliado pela calculadora HEARTS in the Americas, que estima o possível risco de infarto do miocárdio, acidente vascular cerebral ou morte cardiovascular em 10 anos. Desfechos avaliados foram perda de peso ≥3% em 6 meses, HbA1c e LDL-colesterol dentro das metas terapêuticas. Qualidade da dieta foi avaliada pela Teia Alimentar para a Saúde Cardiovascular, com escore calculado a partir da área do gráfico (0-100%). </w:t>
      </w:r>
      <w:r w:rsidRPr="00004A23">
        <w:rPr>
          <w:b/>
          <w:color w:val="1A1A1A"/>
          <w:sz w:val="22"/>
        </w:rPr>
        <w:t>Resultados:</w:t>
      </w:r>
      <w:r w:rsidRPr="00004A23">
        <w:rPr>
          <w:color w:val="1A1A1A"/>
          <w:sz w:val="22"/>
        </w:rPr>
        <w:t xml:space="preserve"> Foram incluídos 207 participantes, sendo 64,7% mulheres, com idade de 59 anos (50–65) e IMC de 30,3 kg/m² (27,2–33,7). Nesta amostra, 57,0% dos indivíduos apresentaram pelo menos um alto risco para eventos cardiovasculares em 10 anos. Aumento de 10% na autopercepção da qualidade da dieta foi associado a perda de pelo menos 3% do peso após 6 meses de aconselhamento nutricional (OR = 2,31; IC95%: 1,02–5,19), após ajuste para atividade física e risco cardiovascular, durante a pandemia do COVID-19. </w:t>
      </w:r>
      <w:r w:rsidRPr="00004A23">
        <w:rPr>
          <w:b/>
          <w:color w:val="1A1A1A"/>
          <w:sz w:val="22"/>
        </w:rPr>
        <w:t>Conclusão:</w:t>
      </w:r>
      <w:r w:rsidRPr="00004A23">
        <w:rPr>
          <w:color w:val="1A1A1A"/>
          <w:sz w:val="22"/>
        </w:rPr>
        <w:t xml:space="preserve"> A Teia Alimentar para a Saúde Cardiovascular pode ser uma ferramenta útil no aconselhamento nutricional para ampliar a consciência do indivíduo sobre as suas escolhas alimentares e favorecer a perda de peso em indivíduos com alto risco cardiovascular.</w:t>
      </w:r>
    </w:p>
    <w:p w:rsidR="000B5910" w:rsidRDefault="000B5910" w:rsidP="00004A23">
      <w:pPr>
        <w:pBdr>
          <w:bottom w:val="single" w:sz="4" w:space="2" w:color="808080"/>
        </w:pBdr>
        <w:spacing w:before="120" w:after="40" w:line="240" w:lineRule="auto"/>
        <w:rPr>
          <w:sz w:val="6"/>
          <w:szCs w:val="6"/>
        </w:rPr>
      </w:pPr>
    </w:p>
    <w:p w:rsidR="000B5910" w:rsidRPr="00004A23" w:rsidRDefault="00057F5C" w:rsidP="00004A23">
      <w:pPr>
        <w:spacing w:after="0" w:line="240" w:lineRule="auto"/>
        <w:rPr>
          <w:sz w:val="15"/>
          <w:szCs w:val="15"/>
        </w:rPr>
      </w:pPr>
      <w:r w:rsidRPr="00004A23">
        <w:rPr>
          <w:color w:val="595959"/>
          <w:sz w:val="15"/>
          <w:szCs w:val="15"/>
          <w:vertAlign w:val="superscript"/>
        </w:rPr>
        <w:t>1</w:t>
      </w:r>
      <w:r w:rsidRPr="00004A23">
        <w:rPr>
          <w:color w:val="595959"/>
          <w:sz w:val="15"/>
          <w:szCs w:val="15"/>
        </w:rPr>
        <w:t xml:space="preserve"> Departamento de Nutrição, Faculdade de Medicina, UFRGS e Serviço de Nutrição e Dietética do Hospital de Clinicas de Porto Alegre</w:t>
      </w:r>
    </w:p>
    <w:p w:rsidR="000B5910" w:rsidRPr="00004A23" w:rsidRDefault="00057F5C" w:rsidP="00004A23">
      <w:pPr>
        <w:spacing w:after="0" w:line="240" w:lineRule="auto"/>
        <w:rPr>
          <w:sz w:val="15"/>
          <w:szCs w:val="15"/>
        </w:rPr>
      </w:pPr>
      <w:r w:rsidRPr="00004A23">
        <w:rPr>
          <w:color w:val="595959"/>
          <w:sz w:val="15"/>
          <w:szCs w:val="15"/>
          <w:vertAlign w:val="superscript"/>
        </w:rPr>
        <w:t>2</w:t>
      </w:r>
      <w:r w:rsidRPr="00004A23">
        <w:rPr>
          <w:color w:val="595959"/>
          <w:sz w:val="15"/>
          <w:szCs w:val="15"/>
        </w:rPr>
        <w:t xml:space="preserve"> Programa de Pós-Graduação em Ciências Médicas em Endocrinologia, Faculdade de Medicina, Universidade Federal do Rio Grande do Sul</w:t>
      </w:r>
    </w:p>
    <w:p w:rsidR="000B5910" w:rsidRPr="00004A23" w:rsidRDefault="00057F5C" w:rsidP="00004A23">
      <w:pPr>
        <w:spacing w:after="0" w:line="240" w:lineRule="auto"/>
        <w:rPr>
          <w:sz w:val="15"/>
          <w:szCs w:val="15"/>
        </w:rPr>
      </w:pPr>
      <w:r w:rsidRPr="00004A23">
        <w:rPr>
          <w:color w:val="595959"/>
          <w:sz w:val="15"/>
          <w:szCs w:val="15"/>
          <w:vertAlign w:val="superscript"/>
        </w:rPr>
        <w:t>3</w:t>
      </w:r>
      <w:r w:rsidRPr="00004A23">
        <w:rPr>
          <w:color w:val="595959"/>
          <w:sz w:val="15"/>
          <w:szCs w:val="15"/>
        </w:rPr>
        <w:t xml:space="preserve"> Programa de Pós-Graduação em Ciências da Saúde (Cardiologia), Instituto de Cardiologia/Fundação Universitária de Cardiologia do Rio Grande do Sul (IC/FUC</w:t>
      </w:r>
    </w:p>
    <w:p w:rsidR="000B5910" w:rsidRPr="00004A23" w:rsidRDefault="00057F5C" w:rsidP="00004A23">
      <w:pPr>
        <w:spacing w:after="0" w:line="240" w:lineRule="auto"/>
        <w:rPr>
          <w:sz w:val="15"/>
          <w:szCs w:val="15"/>
        </w:rPr>
      </w:pPr>
      <w:r w:rsidRPr="00004A23">
        <w:rPr>
          <w:color w:val="595959"/>
          <w:sz w:val="15"/>
          <w:szCs w:val="15"/>
          <w:vertAlign w:val="superscript"/>
        </w:rPr>
        <w:t>4</w:t>
      </w:r>
      <w:r w:rsidRPr="00004A23">
        <w:rPr>
          <w:color w:val="595959"/>
          <w:sz w:val="15"/>
          <w:szCs w:val="15"/>
        </w:rPr>
        <w:t xml:space="preserve"> Instituto de Pesquisa Hcor, Associação Beneficente Síria (Hcor</w:t>
      </w:r>
    </w:p>
    <w:p w:rsidR="000B5910" w:rsidRPr="00004A23" w:rsidRDefault="00057F5C" w:rsidP="00004A23">
      <w:pPr>
        <w:spacing w:after="0" w:line="240" w:lineRule="auto"/>
        <w:rPr>
          <w:sz w:val="15"/>
          <w:szCs w:val="15"/>
        </w:rPr>
      </w:pPr>
      <w:r w:rsidRPr="00004A23">
        <w:rPr>
          <w:color w:val="595959"/>
          <w:sz w:val="15"/>
          <w:szCs w:val="15"/>
          <w:vertAlign w:val="superscript"/>
        </w:rPr>
        <w:t>5</w:t>
      </w:r>
      <w:r w:rsidRPr="00004A23">
        <w:rPr>
          <w:color w:val="595959"/>
          <w:sz w:val="15"/>
          <w:szCs w:val="15"/>
        </w:rPr>
        <w:t xml:space="preserve"> Departamento de Nutrição, Faculdade de Saúde Pública, Universidade de São Paulo</w:t>
      </w:r>
    </w:p>
    <w:p w:rsidR="000B5910" w:rsidRDefault="000B5910">
      <w:pPr>
        <w:sectPr w:rsidR="000B5910">
          <w:headerReference w:type="default" r:id="rId285"/>
          <w:footerReference w:type="default" r:id="rId28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AGONISTAS INCRETÍNICOS DUAIS E SARCOPENIA EM PACIENTES COM DIABETES TIPO 2 E OBESIDADE: EFEITOS DA TIRZEPATIDA SOBRE A MASSA MUSCULAR.</w:t>
      </w:r>
    </w:p>
    <w:p w:rsidR="000B5910" w:rsidRPr="00004A23" w:rsidRDefault="00057F5C">
      <w:pPr>
        <w:spacing w:after="40" w:line="252" w:lineRule="auto"/>
        <w:jc w:val="right"/>
        <w:rPr>
          <w:szCs w:val="21"/>
        </w:rPr>
      </w:pPr>
      <w:r w:rsidRPr="00004A23">
        <w:rPr>
          <w:color w:val="1A1A1A"/>
          <w:szCs w:val="21"/>
        </w:rPr>
        <w:t>Giovana Schnack Kunzler</w:t>
      </w:r>
      <w:r w:rsidRPr="00004A23">
        <w:rPr>
          <w:color w:val="1A1A1A"/>
          <w:szCs w:val="21"/>
          <w:vertAlign w:val="superscript"/>
        </w:rPr>
        <w:t>1</w:t>
      </w:r>
      <w:r w:rsidRPr="00004A23">
        <w:rPr>
          <w:szCs w:val="21"/>
        </w:rPr>
        <w:br/>
      </w:r>
      <w:r w:rsidRPr="00004A23">
        <w:rPr>
          <w:color w:val="1A1A1A"/>
          <w:szCs w:val="21"/>
        </w:rPr>
        <w:t>Aisha Maruf Ahmad Mahmoud</w:t>
      </w:r>
      <w:r w:rsidRPr="00004A23">
        <w:rPr>
          <w:color w:val="1A1A1A"/>
          <w:szCs w:val="21"/>
          <w:vertAlign w:val="superscript"/>
        </w:rPr>
        <w:t>1</w:t>
      </w:r>
      <w:r w:rsidRPr="00004A23">
        <w:rPr>
          <w:szCs w:val="21"/>
        </w:rPr>
        <w:br/>
      </w:r>
      <w:r w:rsidRPr="00004A23">
        <w:rPr>
          <w:color w:val="1A1A1A"/>
          <w:szCs w:val="21"/>
        </w:rPr>
        <w:t>Ana Rita Breier</w:t>
      </w:r>
      <w:r w:rsidRPr="00004A23">
        <w:rPr>
          <w:color w:val="1A1A1A"/>
          <w:szCs w:val="21"/>
          <w:vertAlign w:val="superscript"/>
        </w:rPr>
        <w:t>1</w:t>
      </w:r>
      <w:r w:rsidRPr="00004A23">
        <w:rPr>
          <w:szCs w:val="21"/>
        </w:rPr>
        <w:br/>
      </w:r>
      <w:r w:rsidRPr="00004A23">
        <w:rPr>
          <w:color w:val="1A1A1A"/>
          <w:szCs w:val="21"/>
        </w:rPr>
        <w:t>Maria Luiza Bartz Pires</w:t>
      </w:r>
      <w:r w:rsidRPr="00004A23">
        <w:rPr>
          <w:color w:val="1A1A1A"/>
          <w:szCs w:val="21"/>
          <w:vertAlign w:val="superscript"/>
        </w:rPr>
        <w:t>1</w:t>
      </w:r>
    </w:p>
    <w:p w:rsidR="000B5910" w:rsidRDefault="00057F5C">
      <w:pPr>
        <w:spacing w:before="240" w:after="100"/>
      </w:pPr>
      <w:r>
        <w:rPr>
          <w:b/>
          <w:color w:val="1A1A1A"/>
          <w:sz w:val="22"/>
        </w:rPr>
        <w:t>RESUMO</w:t>
      </w:r>
    </w:p>
    <w:p w:rsidR="000B5910" w:rsidRPr="00004A23" w:rsidRDefault="00057F5C">
      <w:pPr>
        <w:spacing w:after="80"/>
        <w:jc w:val="both"/>
        <w:rPr>
          <w:sz w:val="22"/>
        </w:rPr>
      </w:pPr>
      <w:r w:rsidRPr="00004A23">
        <w:rPr>
          <w:b/>
          <w:color w:val="1A1A1A"/>
          <w:sz w:val="22"/>
        </w:rPr>
        <w:t>Introdução:</w:t>
      </w:r>
      <w:r w:rsidRPr="00004A23">
        <w:rPr>
          <w:color w:val="1A1A1A"/>
          <w:sz w:val="22"/>
        </w:rPr>
        <w:t xml:space="preserve"> A obesidade e o diabetes mellitus tipo 2 (DM2) configuram problemas de saúde pública, associados à morbidade metabólica e risco cardiovascular. Nesse contexto, agonistas incretínicos duais, como a tirzepatida, têm demonstrado eficácia no controle glicêmico e na redução significativa do peso corporal. Entretanto, as magnitudes da perda ponderal promovida por essas terapias têm suscitado discussões sobre seus efeitos na composição corporal, especialmente quanto à redução de massa magra e ao impacto no risco de sarcopenia. </w:t>
      </w:r>
      <w:r w:rsidRPr="00004A23">
        <w:rPr>
          <w:b/>
          <w:color w:val="1A1A1A"/>
          <w:sz w:val="22"/>
        </w:rPr>
        <w:t>Objetivo</w:t>
      </w:r>
      <w:r w:rsidRPr="00004A23">
        <w:rPr>
          <w:color w:val="1A1A1A"/>
          <w:sz w:val="22"/>
        </w:rPr>
        <w:t xml:space="preserve">: Analisar as implicações do uso da tirzepatida na composição corporal de pacientes com obesidade e DM2. Metodologia: Trata-se de uma revisão sistemática da literatura realizada nas bases PubMed/MEDLINE, LILACS e SciELO, incluindo estudos publicados a partir de 2016 que avaliaram o uso de tirzepatida em adultos e seus efeitos sobre a composição corporal. Ao final, 14 estudos foram incluídos. </w:t>
      </w:r>
      <w:r w:rsidRPr="00004A23">
        <w:rPr>
          <w:b/>
          <w:color w:val="1A1A1A"/>
          <w:sz w:val="22"/>
        </w:rPr>
        <w:t>Resultados:</w:t>
      </w:r>
      <w:r w:rsidRPr="00004A23">
        <w:rPr>
          <w:color w:val="1A1A1A"/>
          <w:sz w:val="22"/>
        </w:rPr>
        <w:t xml:space="preserve"> Evidências clínicas demonstram que a tirzepatida promove redução substancial do peso corporal, frequentemente superior a 15–20% do peso inicial. Avaliações por absorciometria de dupla energia por raios X (DXA) indicam que a maior parte dessa redução ocorre pela diminuição da massa adiposa. Contudo, aproximadamente 25% a 39% da perda ponderal total pode corresponder à redução de massa livre de gordura. Esse declínio de massa muscular excede o observado no envelhecimento fisiológico, estimado em cerca de 0,8% ao ano, o que destaca a relevância de analisar a qualidade da perda de peso associada às terapias farmacológicas. Embora o perfil global de alteração da composição corporal seja predominantemente favorável, a diminuição concomitante de massa magra pode repercutir sobre força muscular e capacidade funcional, elevando o risco de sarcopenia em indivíduos suscetíveis. </w:t>
      </w:r>
      <w:r w:rsidRPr="00004A23">
        <w:rPr>
          <w:b/>
          <w:color w:val="1A1A1A"/>
          <w:sz w:val="22"/>
        </w:rPr>
        <w:t>Conclusão:</w:t>
      </w:r>
      <w:r w:rsidRPr="00004A23">
        <w:rPr>
          <w:color w:val="1A1A1A"/>
          <w:sz w:val="22"/>
        </w:rPr>
        <w:t xml:space="preserve"> A proporção de perda de massa magra observada sugere a necessidade de monitoramento mais atento em grupos com maior risco de sarcopenia, incluindo idosos, indivíduos com baixa massa muscular prévia, pacientes com perda ponderal rápida ou prolongada e aqueles com ingestão proteica inadequada ou baixo nível de atividade física. Nesse cenário, uma abordagem integrada no manejo da obesidade, envolvendo exercício resistido, adequada ingestão proteica e acompanhamento da composição corporal, pode contribuir para otimizar os benefícios metabólicos da perda de peso, ao mesmo tempo em que favorece a preservação da massa muscular e da funcionalidade.</w:t>
      </w:r>
    </w:p>
    <w:p w:rsidR="000B5910" w:rsidRDefault="000B5910">
      <w:pPr>
        <w:pBdr>
          <w:bottom w:val="single" w:sz="4" w:space="2" w:color="808080"/>
        </w:pBdr>
        <w:spacing w:before="16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Universidade do Vale dos Sinos</w:t>
      </w:r>
    </w:p>
    <w:p w:rsidR="000B5910" w:rsidRDefault="000B5910">
      <w:pPr>
        <w:sectPr w:rsidR="000B5910">
          <w:headerReference w:type="default" r:id="rId287"/>
          <w:footerReference w:type="default" r:id="rId288"/>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PREVALÊNCIA DE OBESIDADE EM ADULTOS COM DIABETES MELLITUS TIPO 1 EM UM CENTRO DE REFERÊNCIA EM DIABETES</w:t>
      </w:r>
    </w:p>
    <w:p w:rsidR="000B5910" w:rsidRPr="006F62EF" w:rsidRDefault="00057F5C">
      <w:pPr>
        <w:spacing w:after="40" w:line="252" w:lineRule="auto"/>
        <w:jc w:val="right"/>
        <w:rPr>
          <w:szCs w:val="21"/>
        </w:rPr>
      </w:pPr>
      <w:r w:rsidRPr="006F62EF">
        <w:rPr>
          <w:color w:val="1A1A1A"/>
          <w:szCs w:val="21"/>
        </w:rPr>
        <w:t>Carina Andressa Dick</w:t>
      </w:r>
      <w:r w:rsidRPr="006F62EF">
        <w:rPr>
          <w:color w:val="1A1A1A"/>
          <w:szCs w:val="21"/>
          <w:vertAlign w:val="superscript"/>
        </w:rPr>
        <w:t>1</w:t>
      </w:r>
      <w:r w:rsidRPr="006F62EF">
        <w:rPr>
          <w:szCs w:val="21"/>
        </w:rPr>
        <w:br/>
      </w:r>
      <w:r w:rsidRPr="006F62EF">
        <w:rPr>
          <w:color w:val="1A1A1A"/>
          <w:szCs w:val="21"/>
        </w:rPr>
        <w:t>Bárbara Brambilla</w:t>
      </w:r>
      <w:r w:rsidRPr="006F62EF">
        <w:rPr>
          <w:color w:val="1A1A1A"/>
          <w:szCs w:val="21"/>
          <w:vertAlign w:val="superscript"/>
        </w:rPr>
        <w:t>1</w:t>
      </w:r>
      <w:r w:rsidRPr="006F62EF">
        <w:rPr>
          <w:szCs w:val="21"/>
        </w:rPr>
        <w:br/>
      </w:r>
      <w:r w:rsidRPr="006F62EF">
        <w:rPr>
          <w:color w:val="1A1A1A"/>
          <w:szCs w:val="21"/>
        </w:rPr>
        <w:t>Lucas Bandeira Marchesan</w:t>
      </w:r>
      <w:r w:rsidRPr="006F62EF">
        <w:rPr>
          <w:color w:val="1A1A1A"/>
          <w:szCs w:val="21"/>
          <w:vertAlign w:val="superscript"/>
        </w:rPr>
        <w:t>2</w:t>
      </w:r>
      <w:r w:rsidRPr="006F62EF">
        <w:rPr>
          <w:szCs w:val="21"/>
        </w:rPr>
        <w:br/>
      </w:r>
      <w:r w:rsidRPr="006F62EF">
        <w:rPr>
          <w:color w:val="1A1A1A"/>
          <w:szCs w:val="21"/>
        </w:rPr>
        <w:t>Adriana Fornari</w:t>
      </w:r>
      <w:r w:rsidRPr="006F62EF">
        <w:rPr>
          <w:color w:val="1A1A1A"/>
          <w:szCs w:val="21"/>
          <w:vertAlign w:val="superscript"/>
        </w:rPr>
        <w:t>3</w:t>
      </w:r>
    </w:p>
    <w:p w:rsidR="000B5910" w:rsidRDefault="00057F5C">
      <w:pPr>
        <w:spacing w:before="200" w:after="100"/>
      </w:pPr>
      <w:r>
        <w:rPr>
          <w:b/>
          <w:color w:val="1A1A1A"/>
          <w:sz w:val="22"/>
          <w:szCs w:val="24"/>
        </w:rPr>
        <w:t>RESUMO</w:t>
      </w:r>
    </w:p>
    <w:p w:rsidR="000B5910" w:rsidRPr="006F62EF" w:rsidRDefault="00057F5C">
      <w:pPr>
        <w:spacing w:after="80" w:line="264" w:lineRule="auto"/>
        <w:jc w:val="both"/>
        <w:rPr>
          <w:sz w:val="22"/>
        </w:rPr>
      </w:pPr>
      <w:r w:rsidRPr="006F62EF">
        <w:rPr>
          <w:b/>
          <w:color w:val="1A1A1A"/>
          <w:sz w:val="22"/>
        </w:rPr>
        <w:t>Introdução:</w:t>
      </w:r>
      <w:r w:rsidRPr="006F62EF">
        <w:rPr>
          <w:color w:val="1A1A1A"/>
          <w:sz w:val="22"/>
        </w:rPr>
        <w:t xml:space="preserve"> Estudos recentes demonstram elevada prevalência de excesso de peso em indivíduos com diabetes mellitus tipo 1 (DM1), contrastando com o fenótipo historicamente associado </w:t>
      </w:r>
      <w:proofErr w:type="gramStart"/>
      <w:r w:rsidRPr="006F62EF">
        <w:rPr>
          <w:color w:val="1A1A1A"/>
          <w:sz w:val="22"/>
        </w:rPr>
        <w:t>a</w:t>
      </w:r>
      <w:proofErr w:type="gramEnd"/>
      <w:r w:rsidRPr="006F62EF">
        <w:rPr>
          <w:color w:val="1A1A1A"/>
          <w:sz w:val="22"/>
        </w:rPr>
        <w:t xml:space="preserve"> indivíduos eutróficos ou com baixo peso, avaliados pelo índice de massa corporal (IMC). </w:t>
      </w:r>
      <w:r w:rsidRPr="006F62EF">
        <w:rPr>
          <w:b/>
          <w:color w:val="1A1A1A"/>
          <w:sz w:val="22"/>
        </w:rPr>
        <w:t>Objetivo:</w:t>
      </w:r>
      <w:r w:rsidRPr="006F62EF">
        <w:rPr>
          <w:color w:val="1A1A1A"/>
          <w:sz w:val="22"/>
        </w:rPr>
        <w:t xml:space="preserve"> Avaliar a prevalência de sobrepeso e obesidade em adultos com DM1 associada a características clínicas e metabólicas. </w:t>
      </w:r>
      <w:r w:rsidRPr="006F62EF">
        <w:rPr>
          <w:b/>
          <w:color w:val="1A1A1A"/>
          <w:sz w:val="22"/>
        </w:rPr>
        <w:t>Métodos:</w:t>
      </w:r>
      <w:r w:rsidRPr="006F62EF">
        <w:rPr>
          <w:color w:val="1A1A1A"/>
          <w:sz w:val="22"/>
        </w:rPr>
        <w:t xml:space="preserve"> Estudo transversal incluindo pacientes ≥18 anos com DM1 atendidos entre janeiro/2024 e abril/2025. Dados foram obtidos de prontuários eletrônicos. Avaliados três grupos conforme IMC (kg/m²): sem excesso de peso (&lt;25), sobrepeso (25-29,9) e obesidade (≥30), ajustado para idade e duração do diabetes. </w:t>
      </w:r>
      <w:r w:rsidRPr="006F62EF">
        <w:rPr>
          <w:b/>
          <w:color w:val="1A1A1A"/>
          <w:sz w:val="22"/>
        </w:rPr>
        <w:t>Resultados:</w:t>
      </w:r>
      <w:r w:rsidRPr="006F62EF">
        <w:rPr>
          <w:color w:val="1A1A1A"/>
          <w:sz w:val="22"/>
        </w:rPr>
        <w:t xml:space="preserve"> Foram incluídos 575 participantes, média de idade 26,86±6,37 anos e duração do DM1 16,1±7,25 anos. A prevalência de excesso de peso foi de 51,3% (sobrepeso 32% e obesidade 19,3%). Indivíduos sem excesso de peso eram mais jovens em relação aos grupos sobrepeso e obesidade (25,48±6 vs 27,63±6,3 vs 28,93±6,66, p&lt;0,001) e tinham menor duração do DM1 (anos) (14,83±6,79 vs 17,02±7,71 vs 17,8±7,09; p&lt;0,001). A proporção de mulheres foi maior no grupo obesidade, 70,3% vs 51,6% para sobrepeso e 42,1% para sem excesso de peso, p&lt;0,001. A pressão sistólica (mmHg) foi menor no grupo sem excesso de peso em relação aos grupos sobrepeso e obesidade (120,83±15,34 vs 126,93±16,43 vs 128,27±16,78; p&lt;0,001) e a diastólica foi maior no grupo obesidade (81,7±9,85 vs 76,78±9,67 sem excesso de peso vs 78,33±10,02 sobrepeso, p&lt;0,001). O grupo obesidade apresentou pior perfil lipídico em relação aos grupos sem excesso de peso e sobrepeso (LDLc 114,19±32,58 mg/dL vs 103,13±37,23 vs 103,9±29,72 p=0,0017; não-HDL: 137,99±37,76 vs 123,67±42,97 vs 124,29±33,64, p=0,003). Indivíduos sem excesso de peso apresentaram HbA1c mais elevada comparado aos grupos sobrepeso e obesidade (8,97±1,91% vs 8,4±1,35% vs 8,51±1,48%; p=0,011) e necessitaram maior dose de insulina (U/kg/dia) 0,8±0,21 vs 0,72±0,17 vs 0,68±0,17, p&lt;0,001. </w:t>
      </w:r>
      <w:r w:rsidRPr="006F62EF">
        <w:rPr>
          <w:b/>
          <w:color w:val="1A1A1A"/>
          <w:sz w:val="22"/>
        </w:rPr>
        <w:t>Conclusão:</w:t>
      </w:r>
      <w:r w:rsidRPr="006F62EF">
        <w:rPr>
          <w:color w:val="1A1A1A"/>
          <w:sz w:val="22"/>
        </w:rPr>
        <w:t xml:space="preserve"> O excesso de peso é frequente em adultos com DM1 e associa-se a perfil cardiometabólico desfavorável, enquanto </w:t>
      </w:r>
      <w:proofErr w:type="gramStart"/>
      <w:r w:rsidRPr="006F62EF">
        <w:rPr>
          <w:color w:val="1A1A1A"/>
          <w:sz w:val="22"/>
        </w:rPr>
        <w:t>a</w:t>
      </w:r>
      <w:proofErr w:type="gramEnd"/>
      <w:r w:rsidRPr="006F62EF">
        <w:rPr>
          <w:color w:val="1A1A1A"/>
          <w:sz w:val="22"/>
        </w:rPr>
        <w:t xml:space="preserve"> ausência de excesso de peso pode, numa fração desses pacientes, refletir maior insulinopenia e pior controle glicêmico. A prevalência de obesidade observada foi semelhante à descrita em estudos recentes e àquela reportada na população brasileira, reforçando </w:t>
      </w:r>
      <w:proofErr w:type="gramStart"/>
      <w:r w:rsidRPr="006F62EF">
        <w:rPr>
          <w:color w:val="1A1A1A"/>
          <w:sz w:val="22"/>
        </w:rPr>
        <w:t>a</w:t>
      </w:r>
      <w:proofErr w:type="gramEnd"/>
      <w:r w:rsidRPr="006F62EF">
        <w:rPr>
          <w:color w:val="1A1A1A"/>
          <w:sz w:val="22"/>
        </w:rPr>
        <w:t xml:space="preserve"> importância do seu monitoramento para o tratamento destes indivíduos.</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Programa de Residência Médica em Endocrinologia e Metabologia do Hospital Nossa Senhora da Conceição, Grupo Hospitalar Conceição, Porto Alegre, RS</w:t>
      </w:r>
    </w:p>
    <w:p w:rsidR="000B5910" w:rsidRPr="006F62EF" w:rsidRDefault="00057F5C">
      <w:pPr>
        <w:spacing w:after="0" w:line="252" w:lineRule="auto"/>
        <w:rPr>
          <w:sz w:val="16"/>
          <w:szCs w:val="16"/>
        </w:rPr>
      </w:pPr>
      <w:r w:rsidRPr="006F62EF">
        <w:rPr>
          <w:color w:val="595959"/>
          <w:sz w:val="16"/>
          <w:szCs w:val="16"/>
          <w:vertAlign w:val="superscript"/>
        </w:rPr>
        <w:t>2</w:t>
      </w:r>
      <w:r w:rsidRPr="006F62EF">
        <w:rPr>
          <w:color w:val="595959"/>
          <w:sz w:val="16"/>
          <w:szCs w:val="16"/>
        </w:rPr>
        <w:t xml:space="preserve"> Serviço de Endocrinologia e Metabologia do Hospital Nossa Senhora da Conceição, Grupo Hospitalar Conceição, Porto Alegre, RS</w:t>
      </w:r>
    </w:p>
    <w:p w:rsidR="000B5910" w:rsidRPr="006F62EF" w:rsidRDefault="00057F5C">
      <w:pPr>
        <w:spacing w:after="0" w:line="252" w:lineRule="auto"/>
        <w:rPr>
          <w:sz w:val="16"/>
          <w:szCs w:val="16"/>
        </w:rPr>
      </w:pPr>
      <w:r w:rsidRPr="006F62EF">
        <w:rPr>
          <w:color w:val="595959"/>
          <w:sz w:val="16"/>
          <w:szCs w:val="16"/>
          <w:vertAlign w:val="superscript"/>
        </w:rPr>
        <w:t>3</w:t>
      </w:r>
      <w:r w:rsidRPr="006F62EF">
        <w:rPr>
          <w:color w:val="595959"/>
          <w:sz w:val="16"/>
          <w:szCs w:val="16"/>
        </w:rPr>
        <w:t xml:space="preserve"> Serviço de Endocrinologia e Metabologia do Hospital Nossa Senhora da Conceição, Grupo Hospitalar Conceição, Porto Alegre, RS. Instituto da Criança com Diabetes, Hospital da Criança Conceição, Grupo Hospitalar Conceição, Porto Alegre, RS</w:t>
      </w:r>
    </w:p>
    <w:p w:rsidR="000B5910" w:rsidRDefault="000B5910">
      <w:pPr>
        <w:sectPr w:rsidR="000B5910">
          <w:headerReference w:type="default" r:id="rId289"/>
          <w:footerReference w:type="default" r:id="rId290"/>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INTERNAÇÕES POR OBESIDADE NO SISTEMA ÚNICO DE SAÚDE: TENDÊNCIA RECENTE NA REGIÃO SUL DO BRASIL (2023-2025)</w:t>
      </w:r>
    </w:p>
    <w:p w:rsidR="000B5910" w:rsidRPr="006F62EF" w:rsidRDefault="00057F5C">
      <w:pPr>
        <w:spacing w:after="40" w:line="252" w:lineRule="auto"/>
        <w:jc w:val="right"/>
        <w:rPr>
          <w:szCs w:val="21"/>
        </w:rPr>
      </w:pPr>
      <w:r w:rsidRPr="006F62EF">
        <w:rPr>
          <w:color w:val="1A1A1A"/>
          <w:szCs w:val="21"/>
        </w:rPr>
        <w:t>Larissa de Souza Piardi</w:t>
      </w:r>
      <w:r w:rsidRPr="006F62EF">
        <w:rPr>
          <w:color w:val="1A1A1A"/>
          <w:szCs w:val="21"/>
          <w:vertAlign w:val="superscript"/>
        </w:rPr>
        <w:t>1</w:t>
      </w:r>
      <w:r w:rsidRPr="006F62EF">
        <w:rPr>
          <w:szCs w:val="21"/>
        </w:rPr>
        <w:br/>
      </w:r>
      <w:r w:rsidRPr="006F62EF">
        <w:rPr>
          <w:color w:val="1A1A1A"/>
          <w:szCs w:val="21"/>
        </w:rPr>
        <w:t>Sophia Scholz Boelter</w:t>
      </w:r>
      <w:r w:rsidRPr="006F62EF">
        <w:rPr>
          <w:color w:val="1A1A1A"/>
          <w:szCs w:val="21"/>
          <w:vertAlign w:val="superscript"/>
        </w:rPr>
        <w:t>1</w:t>
      </w:r>
      <w:r w:rsidRPr="006F62EF">
        <w:rPr>
          <w:szCs w:val="21"/>
        </w:rPr>
        <w:br/>
      </w:r>
      <w:r w:rsidRPr="006F62EF">
        <w:rPr>
          <w:color w:val="1A1A1A"/>
          <w:szCs w:val="21"/>
        </w:rPr>
        <w:t>Beatriz Cassel Corrêa</w:t>
      </w:r>
      <w:r w:rsidRPr="006F62EF">
        <w:rPr>
          <w:color w:val="1A1A1A"/>
          <w:szCs w:val="21"/>
          <w:vertAlign w:val="superscript"/>
        </w:rPr>
        <w:t>1</w:t>
      </w:r>
      <w:r w:rsidRPr="006F62EF">
        <w:rPr>
          <w:szCs w:val="21"/>
        </w:rPr>
        <w:br/>
      </w:r>
      <w:r w:rsidRPr="006F62EF">
        <w:rPr>
          <w:color w:val="1A1A1A"/>
          <w:szCs w:val="21"/>
        </w:rPr>
        <w:t>Eduarda Henn</w:t>
      </w:r>
      <w:r w:rsidRPr="006F62EF">
        <w:rPr>
          <w:color w:val="1A1A1A"/>
          <w:szCs w:val="21"/>
          <w:vertAlign w:val="superscript"/>
        </w:rPr>
        <w:t>1</w:t>
      </w:r>
      <w:r w:rsidRPr="006F62EF">
        <w:rPr>
          <w:szCs w:val="21"/>
        </w:rPr>
        <w:br/>
      </w:r>
      <w:r w:rsidRPr="006F62EF">
        <w:rPr>
          <w:color w:val="1A1A1A"/>
          <w:szCs w:val="21"/>
        </w:rPr>
        <w:t>Giulliana Viecilli Castilhos</w:t>
      </w:r>
      <w:r w:rsidRPr="006F62EF">
        <w:rPr>
          <w:color w:val="1A1A1A"/>
          <w:szCs w:val="21"/>
          <w:vertAlign w:val="superscript"/>
        </w:rPr>
        <w:t>1</w:t>
      </w:r>
      <w:r w:rsidRPr="006F62EF">
        <w:rPr>
          <w:szCs w:val="21"/>
        </w:rPr>
        <w:br/>
      </w:r>
      <w:r w:rsidRPr="006F62EF">
        <w:rPr>
          <w:color w:val="1A1A1A"/>
          <w:szCs w:val="21"/>
        </w:rPr>
        <w:t>Marília Beling Gularte</w:t>
      </w:r>
      <w:r w:rsidRPr="006F62EF">
        <w:rPr>
          <w:color w:val="1A1A1A"/>
          <w:szCs w:val="21"/>
          <w:vertAlign w:val="superscript"/>
        </w:rPr>
        <w:t>1</w:t>
      </w:r>
      <w:r w:rsidRPr="006F62EF">
        <w:rPr>
          <w:szCs w:val="21"/>
        </w:rPr>
        <w:br/>
      </w:r>
      <w:r w:rsidRPr="006F62EF">
        <w:rPr>
          <w:color w:val="1A1A1A"/>
          <w:szCs w:val="21"/>
        </w:rPr>
        <w:t>Júlio César Zanardi</w:t>
      </w:r>
      <w:r w:rsidRPr="006F62EF">
        <w:rPr>
          <w:color w:val="1A1A1A"/>
          <w:szCs w:val="21"/>
          <w:vertAlign w:val="superscript"/>
        </w:rPr>
        <w:t>2</w:t>
      </w:r>
      <w:r w:rsidRPr="006F62EF">
        <w:rPr>
          <w:szCs w:val="21"/>
        </w:rPr>
        <w:br/>
      </w:r>
      <w:r w:rsidRPr="006F62EF">
        <w:rPr>
          <w:color w:val="1A1A1A"/>
          <w:szCs w:val="21"/>
        </w:rPr>
        <w:t>Gabriela Jacques Hoss</w:t>
      </w:r>
      <w:r w:rsidRPr="006F62EF">
        <w:rPr>
          <w:color w:val="1A1A1A"/>
          <w:szCs w:val="21"/>
          <w:vertAlign w:val="superscript"/>
        </w:rPr>
        <w:t>1</w:t>
      </w:r>
    </w:p>
    <w:p w:rsidR="000B5910" w:rsidRDefault="00057F5C">
      <w:pPr>
        <w:spacing w:before="200" w:after="100"/>
      </w:pPr>
      <w:r>
        <w:rPr>
          <w:b/>
          <w:color w:val="1A1A1A"/>
          <w:sz w:val="22"/>
          <w:szCs w:val="24"/>
        </w:rPr>
        <w:t>RESUMO</w:t>
      </w:r>
    </w:p>
    <w:p w:rsidR="000B5910" w:rsidRPr="006F62EF" w:rsidRDefault="00057F5C">
      <w:pPr>
        <w:spacing w:after="80" w:line="264" w:lineRule="auto"/>
        <w:jc w:val="both"/>
        <w:rPr>
          <w:sz w:val="22"/>
          <w:szCs w:val="21"/>
        </w:rPr>
      </w:pPr>
      <w:r w:rsidRPr="006F62EF">
        <w:rPr>
          <w:b/>
          <w:color w:val="1A1A1A"/>
          <w:sz w:val="22"/>
          <w:szCs w:val="21"/>
        </w:rPr>
        <w:t>Introdução:</w:t>
      </w:r>
      <w:r w:rsidRPr="006F62EF">
        <w:rPr>
          <w:color w:val="1A1A1A"/>
          <w:sz w:val="22"/>
          <w:szCs w:val="21"/>
        </w:rPr>
        <w:t xml:space="preserve"> A obesidade grave configura um importante desafio sanitário no Brasil, repercutindo diretamente na organização da rede hospitalar e na alocação de recursos públicos. O aumento progressivo das internações relacionadas </w:t>
      </w:r>
      <w:proofErr w:type="gramStart"/>
      <w:r w:rsidRPr="006F62EF">
        <w:rPr>
          <w:color w:val="1A1A1A"/>
          <w:sz w:val="22"/>
          <w:szCs w:val="21"/>
        </w:rPr>
        <w:t>a</w:t>
      </w:r>
      <w:proofErr w:type="gramEnd"/>
      <w:r w:rsidRPr="006F62EF">
        <w:rPr>
          <w:color w:val="1A1A1A"/>
          <w:sz w:val="22"/>
          <w:szCs w:val="21"/>
        </w:rPr>
        <w:t xml:space="preserve"> essa condição reflete tanto a expansão das indicações terapêuticas quanto a maior demanda por tratamento especializado no âmbito do Sistema Único de Saúde (SUS). </w:t>
      </w:r>
      <w:r w:rsidRPr="006F62EF">
        <w:rPr>
          <w:b/>
          <w:color w:val="1A1A1A"/>
          <w:sz w:val="22"/>
          <w:szCs w:val="21"/>
        </w:rPr>
        <w:t xml:space="preserve">Objetivo: </w:t>
      </w:r>
      <w:r w:rsidRPr="006F62EF">
        <w:rPr>
          <w:color w:val="1A1A1A"/>
          <w:sz w:val="22"/>
          <w:szCs w:val="21"/>
        </w:rPr>
        <w:t xml:space="preserve">Analisar a tendência das internações por obesidade na Região Sul do Brasil, no período entre 2023 e 2025, caracterizando-as e classificando suas implicações assistenciais. </w:t>
      </w:r>
      <w:r w:rsidRPr="006F62EF">
        <w:rPr>
          <w:b/>
          <w:color w:val="1A1A1A"/>
          <w:sz w:val="22"/>
          <w:szCs w:val="21"/>
        </w:rPr>
        <w:t>Métodos:</w:t>
      </w:r>
      <w:r w:rsidRPr="006F62EF">
        <w:rPr>
          <w:color w:val="1A1A1A"/>
          <w:sz w:val="22"/>
          <w:szCs w:val="21"/>
        </w:rPr>
        <w:t xml:space="preserve"> Estudo retrospectivo com dados secundários do Sistema de Informações Hospitalares do SUS, incluindo internações por obesidade na Região Sul do Brasil entre 2023 a 2025. Foram analisadas as variáveis: total de internações, faixa etária, mês de ocorrência e caráter de atendimento. </w:t>
      </w:r>
      <w:r w:rsidRPr="006F62EF">
        <w:rPr>
          <w:b/>
          <w:color w:val="1A1A1A"/>
          <w:sz w:val="22"/>
          <w:szCs w:val="21"/>
        </w:rPr>
        <w:t>Resultados:</w:t>
      </w:r>
      <w:r w:rsidRPr="006F62EF">
        <w:rPr>
          <w:color w:val="1A1A1A"/>
          <w:sz w:val="22"/>
          <w:szCs w:val="21"/>
        </w:rPr>
        <w:t xml:space="preserve"> Entre 2023 e 2025 foram registradas 13.806 internações por obesidade na Região Sul do Brasil, com crescimento progressivo ao longo do período. Em 2023, ocorreram 3.437 internações, aumentando para 4.523 em 2024 e 5.752 em 2025, representando crescimento acumulado de 67%. A média mensal passou de 286 internações em 2023 para 479 em 2025. Quanto à distribuição por sexo, verificou-se predomínio do sexo feminino, responsável por 87,5% das internações (12.080 casos), enquanto o sexo masculino correspondeu a 12,5% (1.726 casos). Quanto à faixa etária, a maior concentração encontra-se entre as faixas etárias de 30 a 39 anos (31%) e 40-49 anos (30%), que juntas corresponderam a mais de 60% das internações. As faixas de 20 a 29 anos e 50 a 59 anos também apresentaram 1.962 e 2.501 internações, respectivamente, enquanto extremos de idade tiveram baixa ocorrência. Em relação ao caráter do atendimento, houve predomínio das internações eletivas, que totalizaram 13.104 casos (94,9%), enquanto as internações de urgência somaram 702 casos (5,1%). </w:t>
      </w:r>
      <w:r w:rsidRPr="006F62EF">
        <w:rPr>
          <w:b/>
          <w:color w:val="1A1A1A"/>
          <w:sz w:val="22"/>
          <w:szCs w:val="21"/>
        </w:rPr>
        <w:t xml:space="preserve">Conclusão: </w:t>
      </w:r>
      <w:r w:rsidRPr="006F62EF">
        <w:rPr>
          <w:color w:val="1A1A1A"/>
          <w:sz w:val="22"/>
          <w:szCs w:val="21"/>
        </w:rPr>
        <w:t>Há crescimento expressivo das internações por obesidade na Região Sul do Brasil no período analisado, com predomínio de mulheres em idade adulta e caráter majoritariamente eletivo dos atendimentos. Os achados indicam aumento da demanda por cuidados especializados e reforçam a necessidade de planejamento assistencial e ampliação de estratégias de prevenção e manejo clínico da obesidade, a fim de otimizar a utilização de recursos hospitalares e reduzir o impacto dessa condição sobre o SUS.</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Universidade de Santa Cruz do Sul-RS</w:t>
      </w:r>
    </w:p>
    <w:p w:rsidR="000B5910" w:rsidRPr="006F62EF" w:rsidRDefault="00057F5C">
      <w:pPr>
        <w:spacing w:after="0" w:line="252" w:lineRule="auto"/>
        <w:rPr>
          <w:sz w:val="16"/>
          <w:szCs w:val="16"/>
        </w:rPr>
      </w:pPr>
      <w:r w:rsidRPr="006F62EF">
        <w:rPr>
          <w:color w:val="595959"/>
          <w:sz w:val="16"/>
          <w:szCs w:val="16"/>
          <w:vertAlign w:val="superscript"/>
        </w:rPr>
        <w:t>2</w:t>
      </w:r>
      <w:r w:rsidRPr="006F62EF">
        <w:rPr>
          <w:color w:val="595959"/>
          <w:sz w:val="16"/>
          <w:szCs w:val="16"/>
        </w:rPr>
        <w:t xml:space="preserve"> Universidade de Caxias do Sul-RS</w:t>
      </w:r>
    </w:p>
    <w:p w:rsidR="000B5910" w:rsidRDefault="000B5910">
      <w:pPr>
        <w:sectPr w:rsidR="000B5910">
          <w:headerReference w:type="default" r:id="rId291"/>
          <w:footerReference w:type="default" r:id="rId29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DEZ ANOS DE ESPERA PELA CIRURGIA BARIÁTRICA NO SUS: ANÁLISE DE UMA COORTE DE 722 PACIENTES DO RIO GRANDE DO SUL (2015-2025)</w:t>
      </w:r>
    </w:p>
    <w:p w:rsidR="000B5910" w:rsidRPr="006F62EF" w:rsidRDefault="00057F5C">
      <w:pPr>
        <w:spacing w:after="40" w:line="252" w:lineRule="auto"/>
        <w:jc w:val="right"/>
        <w:rPr>
          <w:szCs w:val="21"/>
        </w:rPr>
      </w:pPr>
      <w:r w:rsidRPr="006F62EF">
        <w:rPr>
          <w:color w:val="1A1A1A"/>
          <w:szCs w:val="21"/>
        </w:rPr>
        <w:t>Germana Victórya Martins Borelli</w:t>
      </w:r>
      <w:r w:rsidRPr="006F62EF">
        <w:rPr>
          <w:color w:val="1A1A1A"/>
          <w:szCs w:val="21"/>
          <w:vertAlign w:val="superscript"/>
        </w:rPr>
        <w:t>1</w:t>
      </w:r>
      <w:r w:rsidRPr="006F62EF">
        <w:rPr>
          <w:szCs w:val="21"/>
        </w:rPr>
        <w:br/>
      </w:r>
      <w:r w:rsidRPr="006F62EF">
        <w:rPr>
          <w:color w:val="1A1A1A"/>
          <w:szCs w:val="21"/>
        </w:rPr>
        <w:t>Katia Elisabete Pires Souto</w:t>
      </w:r>
      <w:r w:rsidRPr="006F62EF">
        <w:rPr>
          <w:color w:val="1A1A1A"/>
          <w:szCs w:val="21"/>
          <w:vertAlign w:val="superscript"/>
        </w:rPr>
        <w:t>2</w:t>
      </w:r>
    </w:p>
    <w:p w:rsidR="000B5910" w:rsidRDefault="00057F5C">
      <w:pPr>
        <w:spacing w:before="240" w:after="100"/>
      </w:pPr>
      <w:r>
        <w:rPr>
          <w:b/>
          <w:color w:val="1A1A1A"/>
          <w:sz w:val="22"/>
        </w:rPr>
        <w:t>RESUMO</w:t>
      </w:r>
    </w:p>
    <w:p w:rsidR="000B5910" w:rsidRPr="006F62EF" w:rsidRDefault="00057F5C">
      <w:pPr>
        <w:spacing w:after="80"/>
        <w:jc w:val="both"/>
        <w:rPr>
          <w:sz w:val="22"/>
        </w:rPr>
      </w:pPr>
      <w:r w:rsidRPr="006F62EF">
        <w:rPr>
          <w:b/>
          <w:color w:val="1A1A1A"/>
          <w:sz w:val="22"/>
        </w:rPr>
        <w:t>Introdução:</w:t>
      </w:r>
      <w:r w:rsidRPr="006F62EF">
        <w:rPr>
          <w:color w:val="1A1A1A"/>
          <w:sz w:val="22"/>
        </w:rPr>
        <w:t xml:space="preserve"> Reconhecida pela Organização Mundial da Saúde como pandemia, </w:t>
      </w:r>
      <w:proofErr w:type="gramStart"/>
      <w:r w:rsidRPr="006F62EF">
        <w:rPr>
          <w:color w:val="1A1A1A"/>
          <w:sz w:val="22"/>
        </w:rPr>
        <w:t>a</w:t>
      </w:r>
      <w:proofErr w:type="gramEnd"/>
      <w:r w:rsidRPr="006F62EF">
        <w:rPr>
          <w:color w:val="1A1A1A"/>
          <w:sz w:val="22"/>
        </w:rPr>
        <w:t xml:space="preserve"> obesidade acomete cerca de 1 bilhão de pessoas. No Brasil, 26,8% dos adultos são obesos e aproximadamente 9 milhões possuem indicação para cirurgia bariátrica, considerada o tratamento mais eficaz. Contudo, o acesso pelo Sistema Único de Saúde (SUS) é restrito; cerca de 10% das cirurgias realizadas no país, com tempo médio de espera entre 2 e 4 anos, associam-se ao agravamento clínico e aumento da mortalidade. No Rio Grande do Sul, </w:t>
      </w:r>
      <w:proofErr w:type="gramStart"/>
      <w:r w:rsidRPr="006F62EF">
        <w:rPr>
          <w:color w:val="1A1A1A"/>
          <w:sz w:val="22"/>
        </w:rPr>
        <w:t>a</w:t>
      </w:r>
      <w:proofErr w:type="gramEnd"/>
      <w:r w:rsidRPr="006F62EF">
        <w:rPr>
          <w:color w:val="1A1A1A"/>
          <w:sz w:val="22"/>
        </w:rPr>
        <w:t xml:space="preserve"> elevada judicialização e a limitada oferta do procedimento agravam esse cenário. Nesse contexto, o Grupo Hospitalar Conceição (GHC), hospital 100% SUS e referência em bariátrica, desempenha papel estratégico no atendimento dessa demanda, tornando relevante </w:t>
      </w:r>
      <w:proofErr w:type="gramStart"/>
      <w:r w:rsidRPr="006F62EF">
        <w:rPr>
          <w:color w:val="1A1A1A"/>
          <w:sz w:val="22"/>
        </w:rPr>
        <w:t>a</w:t>
      </w:r>
      <w:proofErr w:type="gramEnd"/>
      <w:r w:rsidRPr="006F62EF">
        <w:rPr>
          <w:color w:val="1A1A1A"/>
          <w:sz w:val="22"/>
        </w:rPr>
        <w:t xml:space="preserve"> avaliação do fluxo assistencial e desfechos clínicos dos pacientes. </w:t>
      </w:r>
      <w:r w:rsidRPr="006F62EF">
        <w:rPr>
          <w:b/>
          <w:color w:val="1A1A1A"/>
          <w:sz w:val="22"/>
        </w:rPr>
        <w:t>Objetivo:</w:t>
      </w:r>
      <w:r w:rsidRPr="006F62EF">
        <w:rPr>
          <w:color w:val="1A1A1A"/>
          <w:sz w:val="22"/>
        </w:rPr>
        <w:t xml:space="preserve"> Analisar perfil clínico, tempo de espera e desfechos de pacientes cadastrados no programa de cirurgia bariátrica do GHC, entre 2015 e 2025. </w:t>
      </w:r>
      <w:r w:rsidRPr="006F62EF">
        <w:rPr>
          <w:b/>
          <w:color w:val="1A1A1A"/>
          <w:sz w:val="22"/>
        </w:rPr>
        <w:t>Métodos</w:t>
      </w:r>
      <w:r w:rsidRPr="006F62EF">
        <w:rPr>
          <w:color w:val="1A1A1A"/>
          <w:sz w:val="22"/>
        </w:rPr>
        <w:t xml:space="preserve">: Estudo de coorte retrospectivo incluindo todos os pacientes cadastrados no programa do GHC entre 2015-2025. Foram analisados dados demográficos, antropométricos, temporais e desfechos. </w:t>
      </w:r>
      <w:r w:rsidRPr="006F62EF">
        <w:rPr>
          <w:b/>
          <w:color w:val="1A1A1A"/>
          <w:sz w:val="22"/>
        </w:rPr>
        <w:t>Resultados:</w:t>
      </w:r>
      <w:r w:rsidRPr="006F62EF">
        <w:rPr>
          <w:color w:val="1A1A1A"/>
          <w:sz w:val="22"/>
        </w:rPr>
        <w:t xml:space="preserve"> 722 pacientes, com média de 41,1 anos e IMC médio de 53,5 kg/m2 indicando obesidade grave. Do total, 401 cadastrados (55,5%) realizaram cirurgia, 184 (25,5%) abandonaram acompanhamento, 135 (18,7%) permaneciam na fila ao final de 2025 e 7 (0,97%) evoluíram para óbito. A taxa anual de cirurgias variou entre 46,9% e 71,6%, com tendência de redução recente. O abandono foi mais frequente entre cadastrados em 2021 (?35%) com redução posterior. Os óbitos concentraram-se em pacientes cadastrados até 2019. O tempo médio de espera variou entre 12 e 30 meses, com maior ocorrência nos cadastrados em 2019 e 2020 e tempo máximo de 7,5 anos. Após 2021, houve redução progressiva da espera para menos de 12 meses. Paralelamente, observou-se aumento da judicialização, representando 24% dos cadastros em 2025. </w:t>
      </w:r>
      <w:r w:rsidRPr="006F62EF">
        <w:rPr>
          <w:b/>
          <w:color w:val="1A1A1A"/>
          <w:sz w:val="22"/>
        </w:rPr>
        <w:t>Conclusão:</w:t>
      </w:r>
      <w:r w:rsidRPr="006F62EF">
        <w:rPr>
          <w:color w:val="1A1A1A"/>
          <w:sz w:val="22"/>
        </w:rPr>
        <w:t xml:space="preserve"> O tempo de espera para cirurgia bariátrica no SUS permanece alto e clinicamente inaceitável, contribuindo para morbimortalidade evitável. A baixa taxa de óbitos pode subestimar a mortalidade real entre pacientes que abandonaram o acompanhamento. A judicialização amplia o acesso individual, porém reforça desigualdades. Torna-se necessária </w:t>
      </w:r>
      <w:proofErr w:type="gramStart"/>
      <w:r w:rsidRPr="006F62EF">
        <w:rPr>
          <w:color w:val="1A1A1A"/>
          <w:sz w:val="22"/>
        </w:rPr>
        <w:t>a</w:t>
      </w:r>
      <w:proofErr w:type="gramEnd"/>
      <w:r w:rsidRPr="006F62EF">
        <w:rPr>
          <w:color w:val="1A1A1A"/>
          <w:sz w:val="22"/>
        </w:rPr>
        <w:t xml:space="preserve"> ampliação da oferta cirúrgica, definição de critérios de priorização e fortalecimento de estratégias terapêuticas para maior equidade no cuidado.</w:t>
      </w:r>
    </w:p>
    <w:p w:rsidR="000B5910" w:rsidRDefault="000B5910">
      <w:pPr>
        <w:pBdr>
          <w:bottom w:val="single" w:sz="4" w:space="2" w:color="808080"/>
        </w:pBdr>
        <w:spacing w:before="16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Universidade do Vale Do Rio dos Sinos, São Leopoldo, Rio Grande do Sul</w:t>
      </w:r>
    </w:p>
    <w:p w:rsidR="000B5910" w:rsidRPr="006F62EF" w:rsidRDefault="00057F5C">
      <w:pPr>
        <w:spacing w:after="0" w:line="252" w:lineRule="auto"/>
        <w:rPr>
          <w:sz w:val="16"/>
          <w:szCs w:val="16"/>
        </w:rPr>
      </w:pPr>
      <w:r w:rsidRPr="006F62EF">
        <w:rPr>
          <w:color w:val="595959"/>
          <w:sz w:val="16"/>
          <w:szCs w:val="16"/>
          <w:vertAlign w:val="superscript"/>
        </w:rPr>
        <w:t>2</w:t>
      </w:r>
      <w:r w:rsidRPr="006F62EF">
        <w:rPr>
          <w:color w:val="595959"/>
          <w:sz w:val="16"/>
          <w:szCs w:val="16"/>
        </w:rPr>
        <w:t xml:space="preserve"> Grupo Hospitalar Conceição, Porto Alegre, Rio Grande do Sul, Brasil</w:t>
      </w:r>
    </w:p>
    <w:p w:rsidR="000B5910" w:rsidRDefault="000B5910">
      <w:pPr>
        <w:sectPr w:rsidR="000B5910">
          <w:headerReference w:type="default" r:id="rId293"/>
          <w:footerReference w:type="default" r:id="rId294"/>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AGONISTAS DE GLP-1 E MODULAÇÃO DO SISTEMA DE RECOMPENSA NA OBESIDADE: UMA REVISÃO SISTEMÁTICA</w:t>
      </w:r>
    </w:p>
    <w:p w:rsidR="000B5910" w:rsidRPr="006F62EF" w:rsidRDefault="00057F5C">
      <w:pPr>
        <w:spacing w:after="40" w:line="252" w:lineRule="auto"/>
        <w:jc w:val="right"/>
        <w:rPr>
          <w:szCs w:val="21"/>
        </w:rPr>
      </w:pPr>
      <w:r w:rsidRPr="006F62EF">
        <w:rPr>
          <w:color w:val="1A1A1A"/>
          <w:szCs w:val="21"/>
        </w:rPr>
        <w:t>Matheus Coelho Brasco</w:t>
      </w:r>
      <w:r w:rsidRPr="006F62EF">
        <w:rPr>
          <w:color w:val="1A1A1A"/>
          <w:szCs w:val="21"/>
          <w:vertAlign w:val="superscript"/>
        </w:rPr>
        <w:t>1</w:t>
      </w:r>
      <w:r w:rsidRPr="006F62EF">
        <w:rPr>
          <w:szCs w:val="21"/>
        </w:rPr>
        <w:br/>
      </w:r>
      <w:r w:rsidRPr="006F62EF">
        <w:rPr>
          <w:color w:val="1A1A1A"/>
          <w:szCs w:val="21"/>
        </w:rPr>
        <w:t>Nur Abdalla Juma Abdel Hamid</w:t>
      </w:r>
      <w:r w:rsidRPr="006F62EF">
        <w:rPr>
          <w:color w:val="1A1A1A"/>
          <w:szCs w:val="21"/>
          <w:vertAlign w:val="superscript"/>
        </w:rPr>
        <w:t>1</w:t>
      </w:r>
      <w:r w:rsidRPr="006F62EF">
        <w:rPr>
          <w:szCs w:val="21"/>
        </w:rPr>
        <w:br/>
      </w:r>
      <w:r w:rsidRPr="006F62EF">
        <w:rPr>
          <w:color w:val="1A1A1A"/>
          <w:szCs w:val="21"/>
        </w:rPr>
        <w:t>Antônia Beltrão Lança</w:t>
      </w:r>
      <w:r w:rsidRPr="006F62EF">
        <w:rPr>
          <w:color w:val="1A1A1A"/>
          <w:szCs w:val="21"/>
          <w:vertAlign w:val="superscript"/>
        </w:rPr>
        <w:t>1</w:t>
      </w:r>
      <w:r w:rsidRPr="006F62EF">
        <w:rPr>
          <w:szCs w:val="21"/>
        </w:rPr>
        <w:br/>
      </w:r>
      <w:r w:rsidRPr="006F62EF">
        <w:rPr>
          <w:color w:val="1A1A1A"/>
          <w:szCs w:val="21"/>
        </w:rPr>
        <w:t>Júlia Conter Nunes</w:t>
      </w:r>
      <w:r w:rsidRPr="006F62EF">
        <w:rPr>
          <w:color w:val="1A1A1A"/>
          <w:szCs w:val="21"/>
          <w:vertAlign w:val="superscript"/>
        </w:rPr>
        <w:t>1</w:t>
      </w:r>
      <w:r w:rsidRPr="006F62EF">
        <w:rPr>
          <w:szCs w:val="21"/>
        </w:rPr>
        <w:br/>
      </w:r>
      <w:r w:rsidRPr="006F62EF">
        <w:rPr>
          <w:color w:val="1A1A1A"/>
          <w:szCs w:val="21"/>
        </w:rPr>
        <w:t>Murilo Gonçalves Braga</w:t>
      </w:r>
      <w:r w:rsidRPr="006F62EF">
        <w:rPr>
          <w:color w:val="1A1A1A"/>
          <w:szCs w:val="21"/>
          <w:vertAlign w:val="superscript"/>
        </w:rPr>
        <w:t>1</w:t>
      </w:r>
      <w:r w:rsidRPr="006F62EF">
        <w:rPr>
          <w:szCs w:val="21"/>
        </w:rPr>
        <w:br/>
      </w:r>
      <w:r w:rsidRPr="006F62EF">
        <w:rPr>
          <w:color w:val="1A1A1A"/>
          <w:szCs w:val="21"/>
        </w:rPr>
        <w:t>Antônia dos Santos Bobrowski</w:t>
      </w:r>
      <w:r w:rsidRPr="006F62EF">
        <w:rPr>
          <w:color w:val="1A1A1A"/>
          <w:szCs w:val="21"/>
          <w:vertAlign w:val="superscript"/>
        </w:rPr>
        <w:t>1</w:t>
      </w:r>
      <w:r w:rsidRPr="006F62EF">
        <w:rPr>
          <w:szCs w:val="21"/>
        </w:rPr>
        <w:br/>
      </w:r>
      <w:r w:rsidRPr="006F62EF">
        <w:rPr>
          <w:color w:val="1A1A1A"/>
          <w:szCs w:val="21"/>
        </w:rPr>
        <w:t>Valentina Dall’Agnol Roman</w:t>
      </w:r>
      <w:r w:rsidRPr="006F62EF">
        <w:rPr>
          <w:color w:val="1A1A1A"/>
          <w:szCs w:val="21"/>
          <w:vertAlign w:val="superscript"/>
        </w:rPr>
        <w:t>1</w:t>
      </w:r>
      <w:r w:rsidRPr="006F62EF">
        <w:rPr>
          <w:szCs w:val="21"/>
        </w:rPr>
        <w:br/>
      </w:r>
      <w:r w:rsidRPr="006F62EF">
        <w:rPr>
          <w:color w:val="1A1A1A"/>
          <w:szCs w:val="21"/>
        </w:rPr>
        <w:t>Inácio Kehl</w:t>
      </w:r>
      <w:r w:rsidRPr="006F62EF">
        <w:rPr>
          <w:color w:val="1A1A1A"/>
          <w:szCs w:val="21"/>
          <w:vertAlign w:val="superscript"/>
        </w:rPr>
        <w:t>1</w:t>
      </w:r>
      <w:r w:rsidRPr="006F62EF">
        <w:rPr>
          <w:szCs w:val="21"/>
        </w:rPr>
        <w:br/>
      </w:r>
      <w:r w:rsidRPr="006F62EF">
        <w:rPr>
          <w:color w:val="1A1A1A"/>
          <w:szCs w:val="21"/>
        </w:rPr>
        <w:t>Leonardo Silveira Bastolla</w:t>
      </w:r>
      <w:r w:rsidRPr="006F62EF">
        <w:rPr>
          <w:color w:val="1A1A1A"/>
          <w:szCs w:val="21"/>
          <w:vertAlign w:val="superscript"/>
        </w:rPr>
        <w:t>1</w:t>
      </w:r>
      <w:r w:rsidRPr="006F62EF">
        <w:rPr>
          <w:szCs w:val="21"/>
        </w:rPr>
        <w:br/>
      </w:r>
      <w:r w:rsidRPr="006F62EF">
        <w:rPr>
          <w:color w:val="1A1A1A"/>
          <w:szCs w:val="21"/>
        </w:rPr>
        <w:t>Marco Antônio Brugnarotto Galvan</w:t>
      </w:r>
      <w:r w:rsidRPr="006F62EF">
        <w:rPr>
          <w:color w:val="1A1A1A"/>
          <w:szCs w:val="21"/>
          <w:vertAlign w:val="superscript"/>
        </w:rPr>
        <w:t>1</w:t>
      </w:r>
      <w:r w:rsidRPr="006F62EF">
        <w:rPr>
          <w:szCs w:val="21"/>
        </w:rPr>
        <w:br/>
      </w:r>
      <w:r w:rsidRPr="006F62EF">
        <w:rPr>
          <w:color w:val="1A1A1A"/>
          <w:szCs w:val="21"/>
        </w:rPr>
        <w:t>Helena Uchôa</w:t>
      </w:r>
      <w:r w:rsidRPr="006F62EF">
        <w:rPr>
          <w:color w:val="1A1A1A"/>
          <w:szCs w:val="21"/>
          <w:vertAlign w:val="superscript"/>
        </w:rPr>
        <w:t>1</w:t>
      </w:r>
    </w:p>
    <w:p w:rsidR="000B5910" w:rsidRPr="006F62EF" w:rsidRDefault="00057F5C">
      <w:pPr>
        <w:spacing w:before="200" w:after="100"/>
        <w:rPr>
          <w:sz w:val="22"/>
        </w:rPr>
      </w:pPr>
      <w:r w:rsidRPr="006F62EF">
        <w:rPr>
          <w:b/>
          <w:color w:val="1A1A1A"/>
          <w:sz w:val="22"/>
        </w:rPr>
        <w:t>RESUMO</w:t>
      </w:r>
    </w:p>
    <w:p w:rsidR="000B5910" w:rsidRPr="006F62EF" w:rsidRDefault="00057F5C">
      <w:pPr>
        <w:spacing w:after="80" w:line="264" w:lineRule="auto"/>
        <w:jc w:val="both"/>
        <w:rPr>
          <w:sz w:val="22"/>
        </w:rPr>
      </w:pPr>
      <w:r w:rsidRPr="006F62EF">
        <w:rPr>
          <w:b/>
          <w:color w:val="1A1A1A"/>
          <w:sz w:val="22"/>
        </w:rPr>
        <w:t>Introdução:</w:t>
      </w:r>
      <w:r w:rsidRPr="006F62EF">
        <w:rPr>
          <w:color w:val="1A1A1A"/>
          <w:sz w:val="22"/>
        </w:rPr>
        <w:t xml:space="preserve"> A obesidade envolve disfunções nos circuitos de recompensa, com hiper-reatividade a pistas alimentares e redução do controle inibitório. Agonistas de GLP‑1 demonstram ação central em regiões relacionadas ao apetite hedônico, sugerindo impacto direto sobre o sistema mesolímbico para além dos efeitos puramente metabólicos.</w:t>
      </w:r>
      <w:r w:rsidRPr="006F62EF">
        <w:rPr>
          <w:b/>
          <w:color w:val="1A1A1A"/>
          <w:sz w:val="22"/>
        </w:rPr>
        <w:t xml:space="preserve"> Objetivo: </w:t>
      </w:r>
      <w:r w:rsidRPr="006F62EF">
        <w:rPr>
          <w:color w:val="1A1A1A"/>
          <w:sz w:val="22"/>
        </w:rPr>
        <w:t>Avaliar se, em adultos com sobrepeso/obesidade, agonistas de GLP‑1 modulam o sistema de recompensa e melhoram desfechos clínicos em comparação a placebo ou cuidados usuais.</w:t>
      </w:r>
      <w:r w:rsidRPr="006F62EF">
        <w:rPr>
          <w:b/>
          <w:color w:val="1A1A1A"/>
          <w:sz w:val="22"/>
        </w:rPr>
        <w:t xml:space="preserve"> Métodos:</w:t>
      </w:r>
      <w:r w:rsidRPr="006F62EF">
        <w:rPr>
          <w:color w:val="1A1A1A"/>
          <w:sz w:val="22"/>
        </w:rPr>
        <w:t xml:space="preserve"> Revisão sistemática conduzida conforme PRISMA. Buscas foram realizadas em PubMed, Embase, Scopus, LILACS e PsycINFO. Foram incluídos estudos em adultos com sobrepeso/obesidade tratados com agonistas de GLP‑1 versus placebo, avaliando modulação do sistema de recompensa (fMRI, PET, tarefas comportamentais) e desfechos clínicos. Três estudos preencheram integralmente o PICO. Foram excluídos estudos pré‑clínicos, revisões e artigos sem intervenção controlada. A síntese foi narrativa. </w:t>
      </w:r>
      <w:r w:rsidRPr="006F62EF">
        <w:rPr>
          <w:b/>
          <w:color w:val="1A1A1A"/>
          <w:sz w:val="22"/>
        </w:rPr>
        <w:t xml:space="preserve">Resultados: </w:t>
      </w:r>
      <w:r w:rsidRPr="006F62EF">
        <w:rPr>
          <w:color w:val="1A1A1A"/>
          <w:sz w:val="22"/>
        </w:rPr>
        <w:t xml:space="preserve">Foram incluídos três ensaios clínicos randomizados controlados por placebo com liraglutida. O primeiro (n=18, 17 dias, até 1,8 mg) mostrou que a liraglutida reduziu </w:t>
      </w:r>
      <w:proofErr w:type="gramStart"/>
      <w:r w:rsidRPr="006F62EF">
        <w:rPr>
          <w:color w:val="1A1A1A"/>
          <w:sz w:val="22"/>
        </w:rPr>
        <w:t>a</w:t>
      </w:r>
      <w:proofErr w:type="gramEnd"/>
      <w:r w:rsidRPr="006F62EF">
        <w:rPr>
          <w:color w:val="1A1A1A"/>
          <w:sz w:val="22"/>
        </w:rPr>
        <w:t xml:space="preserve"> ativação na fMRI frente a pistas visuais de comida (wanting/antecipação) no córtex parietal, ínsula e putâmen (p&lt;0,001), correlacionando-se com menor apetite. O segundo (n=20, 5 semanas, 3,0 mg) resultou em redução de peso; porém, ao controlar a variável do emagrecimento, notou-se um aumento compensatório no córtex orbitofrontal frente a pistas alimentares, indicando adaptação contrarregulatória do cérebro. O terceiro estudo (n=44, 16 semanas, 3,0 mg) avaliou especificamente o prazer durante o consumo real do alimento (liking). Embora a liraglutida tenha gerado maior perda de peso que o placebo (8,9% vs 1,6%, p&lt;0,001), não alterou significativamente a percepção de prazer ou </w:t>
      </w:r>
      <w:proofErr w:type="gramStart"/>
      <w:r w:rsidRPr="006F62EF">
        <w:rPr>
          <w:color w:val="1A1A1A"/>
          <w:sz w:val="22"/>
        </w:rPr>
        <w:t>a</w:t>
      </w:r>
      <w:proofErr w:type="gramEnd"/>
      <w:r w:rsidRPr="006F62EF">
        <w:rPr>
          <w:color w:val="1A1A1A"/>
          <w:sz w:val="22"/>
        </w:rPr>
        <w:t xml:space="preserve"> ativação neural de consumo (amígdala e córtex pré-frontal ventromedial).</w:t>
      </w:r>
      <w:r w:rsidRPr="006F62EF">
        <w:rPr>
          <w:b/>
          <w:color w:val="1A1A1A"/>
          <w:sz w:val="22"/>
        </w:rPr>
        <w:t xml:space="preserve"> Conclusão: </w:t>
      </w:r>
      <w:r w:rsidRPr="006F62EF">
        <w:rPr>
          <w:color w:val="1A1A1A"/>
          <w:sz w:val="22"/>
        </w:rPr>
        <w:t xml:space="preserve">Agonistas de GLP‑1 modulam os circuitos neurais de recompensa atuando primariamente na supressão do desejo antecipatório (wanting/cue-reactivity), mas parecem preservar o processamento hedônico de prazer durante o consumo (liking). Ademais, </w:t>
      </w:r>
      <w:proofErr w:type="gramStart"/>
      <w:r w:rsidRPr="006F62EF">
        <w:rPr>
          <w:color w:val="1A1A1A"/>
          <w:sz w:val="22"/>
        </w:rPr>
        <w:t>a</w:t>
      </w:r>
      <w:proofErr w:type="gramEnd"/>
      <w:r w:rsidRPr="006F62EF">
        <w:rPr>
          <w:color w:val="1A1A1A"/>
          <w:sz w:val="22"/>
        </w:rPr>
        <w:t xml:space="preserve"> ativação de vias contrarregulatórias secundárias à perda de peso evidencia a neuroadaptação do organismo, reforçando a eficácia e a necessidade de terapias farmacológicas contínuas que atuem nos mecanismos fisiológicos e neurocomportamentais da obesidade. </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Pontifícia Universidade Católica do Rio Grande do Sul (PUCRS</w:t>
      </w:r>
    </w:p>
    <w:p w:rsidR="000B5910" w:rsidRDefault="000B5910">
      <w:pPr>
        <w:sectPr w:rsidR="000B5910">
          <w:headerReference w:type="default" r:id="rId295"/>
          <w:footerReference w:type="default" r:id="rId296"/>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CARGA DE HOSPITALIZAÇÕES POR OBESIDADE NA REGIÃO SUL DO BRASIL: ANÁLISE EPIDEMIOLÓGICA DE 55 MIL INTERNAÇÕES ENTRE 2015 E 2025</w:t>
      </w:r>
    </w:p>
    <w:p w:rsidR="000B5910" w:rsidRPr="006F62EF" w:rsidRDefault="00057F5C">
      <w:pPr>
        <w:spacing w:after="40" w:line="252" w:lineRule="auto"/>
        <w:jc w:val="right"/>
        <w:rPr>
          <w:szCs w:val="21"/>
        </w:rPr>
      </w:pPr>
      <w:r w:rsidRPr="006F62EF">
        <w:rPr>
          <w:color w:val="1A1A1A"/>
          <w:szCs w:val="21"/>
        </w:rPr>
        <w:t>Vitória Dal Forno Smola</w:t>
      </w:r>
      <w:r w:rsidRPr="006F62EF">
        <w:rPr>
          <w:color w:val="1A1A1A"/>
          <w:szCs w:val="21"/>
          <w:vertAlign w:val="superscript"/>
        </w:rPr>
        <w:t>1</w:t>
      </w:r>
      <w:r w:rsidRPr="006F62EF">
        <w:rPr>
          <w:szCs w:val="21"/>
        </w:rPr>
        <w:br/>
      </w:r>
      <w:r w:rsidRPr="006F62EF">
        <w:rPr>
          <w:color w:val="1A1A1A"/>
          <w:szCs w:val="21"/>
        </w:rPr>
        <w:t>Pyetra Machado Manera</w:t>
      </w:r>
      <w:r w:rsidRPr="006F62EF">
        <w:rPr>
          <w:color w:val="1A1A1A"/>
          <w:szCs w:val="21"/>
          <w:vertAlign w:val="superscript"/>
        </w:rPr>
        <w:t>1</w:t>
      </w:r>
      <w:r w:rsidRPr="006F62EF">
        <w:rPr>
          <w:szCs w:val="21"/>
        </w:rPr>
        <w:br/>
      </w:r>
      <w:r w:rsidRPr="006F62EF">
        <w:rPr>
          <w:color w:val="1A1A1A"/>
          <w:szCs w:val="21"/>
        </w:rPr>
        <w:t>Pollyanna Albuquerque Spido</w:t>
      </w:r>
      <w:r w:rsidRPr="006F62EF">
        <w:rPr>
          <w:color w:val="1A1A1A"/>
          <w:szCs w:val="21"/>
          <w:vertAlign w:val="superscript"/>
        </w:rPr>
        <w:t>1</w:t>
      </w:r>
      <w:r w:rsidRPr="006F62EF">
        <w:rPr>
          <w:szCs w:val="21"/>
        </w:rPr>
        <w:br/>
      </w:r>
      <w:r w:rsidRPr="006F62EF">
        <w:rPr>
          <w:color w:val="1A1A1A"/>
          <w:szCs w:val="21"/>
        </w:rPr>
        <w:t>Nathalya Karoline Silva de Moraes</w:t>
      </w:r>
      <w:r w:rsidRPr="006F62EF">
        <w:rPr>
          <w:color w:val="1A1A1A"/>
          <w:szCs w:val="21"/>
          <w:vertAlign w:val="superscript"/>
        </w:rPr>
        <w:t>1</w:t>
      </w:r>
      <w:r w:rsidRPr="006F62EF">
        <w:rPr>
          <w:szCs w:val="21"/>
        </w:rPr>
        <w:br/>
      </w:r>
      <w:r w:rsidRPr="006F62EF">
        <w:rPr>
          <w:color w:val="1A1A1A"/>
          <w:szCs w:val="21"/>
        </w:rPr>
        <w:t>Alenir Júnior Gauterio de Moraes</w:t>
      </w:r>
      <w:r w:rsidRPr="006F62EF">
        <w:rPr>
          <w:color w:val="1A1A1A"/>
          <w:szCs w:val="21"/>
          <w:vertAlign w:val="superscript"/>
        </w:rPr>
        <w:t>1</w:t>
      </w:r>
      <w:r w:rsidRPr="006F62EF">
        <w:rPr>
          <w:szCs w:val="21"/>
        </w:rPr>
        <w:br/>
      </w:r>
      <w:r w:rsidRPr="006F62EF">
        <w:rPr>
          <w:color w:val="1A1A1A"/>
          <w:szCs w:val="21"/>
        </w:rPr>
        <w:t>Nicoly Stein</w:t>
      </w:r>
      <w:r w:rsidRPr="006F62EF">
        <w:rPr>
          <w:color w:val="1A1A1A"/>
          <w:szCs w:val="21"/>
          <w:vertAlign w:val="superscript"/>
        </w:rPr>
        <w:t>1</w:t>
      </w:r>
    </w:p>
    <w:p w:rsidR="000B5910" w:rsidRDefault="00057F5C">
      <w:pPr>
        <w:spacing w:before="240" w:after="100"/>
      </w:pPr>
      <w:r>
        <w:rPr>
          <w:b/>
          <w:color w:val="1A1A1A"/>
          <w:sz w:val="22"/>
        </w:rPr>
        <w:t>RESUMO</w:t>
      </w:r>
    </w:p>
    <w:p w:rsidR="000B5910" w:rsidRPr="006F62EF" w:rsidRDefault="00057F5C">
      <w:pPr>
        <w:spacing w:after="80"/>
        <w:jc w:val="both"/>
        <w:rPr>
          <w:sz w:val="22"/>
        </w:rPr>
      </w:pPr>
      <w:r w:rsidRPr="006F62EF">
        <w:rPr>
          <w:b/>
          <w:color w:val="1A1A1A"/>
          <w:sz w:val="22"/>
        </w:rPr>
        <w:t>Introdução</w:t>
      </w:r>
      <w:r w:rsidRPr="006F62EF">
        <w:rPr>
          <w:color w:val="1A1A1A"/>
          <w:sz w:val="22"/>
        </w:rPr>
        <w:t xml:space="preserve">: A obesidade constitui um dos principais problemas de saúde pública global, estando associada ao aumento da morbimortalidade por doenças metabólicas e cardiovasculares, como Diabetes Mellitus e Síndrome metabólica. Nas últimas décadas, o crescimento da prevalência dessa condição tem impactado significativamente os sistemas de saúde, refletindo-se também no aumento das hospitalizações relacionadas à obesidade e suas complicações. </w:t>
      </w:r>
      <w:r w:rsidRPr="006F62EF">
        <w:rPr>
          <w:b/>
          <w:color w:val="1A1A1A"/>
          <w:sz w:val="22"/>
        </w:rPr>
        <w:t>Objetivo</w:t>
      </w:r>
      <w:r w:rsidRPr="006F62EF">
        <w:rPr>
          <w:color w:val="1A1A1A"/>
          <w:sz w:val="22"/>
        </w:rPr>
        <w:t xml:space="preserve">: Analisar a tendência temporal e o perfil epidemiológico das internações por obesidade na região Sul do Brasil entre 2015 e 2025. </w:t>
      </w:r>
      <w:r w:rsidRPr="006F62EF">
        <w:rPr>
          <w:b/>
          <w:color w:val="1A1A1A"/>
          <w:sz w:val="22"/>
        </w:rPr>
        <w:t>Métodos:</w:t>
      </w:r>
      <w:r w:rsidRPr="006F62EF">
        <w:rPr>
          <w:color w:val="1A1A1A"/>
          <w:sz w:val="22"/>
        </w:rPr>
        <w:t xml:space="preserve"> Estudo ecológico descritivo realizado com dados secundários do Sistema de Informações Hospitalares do Sistema Único de Saúde (SIH/SUS), disponibilizados pelo DATASUS por meio do TABNET. Foram analisadas internações hospitalares registradas com diagnóstico de obesidade (CID-10: E66) nos estados do Paraná, Santa Catarina e Rio Grande do Sul, no período de 2015 a 2025. Avaliaram-se as variáveis ano de atendimento, sexo e faixa etária. </w:t>
      </w:r>
      <w:r w:rsidRPr="006F62EF">
        <w:rPr>
          <w:b/>
          <w:color w:val="1A1A1A"/>
          <w:sz w:val="22"/>
        </w:rPr>
        <w:t>Resultados:</w:t>
      </w:r>
      <w:r w:rsidRPr="006F62EF">
        <w:rPr>
          <w:color w:val="1A1A1A"/>
          <w:sz w:val="22"/>
        </w:rPr>
        <w:t xml:space="preserve"> No período analisado, foram registradas 55.993 internações por obesidade na região Sul do Brasil. O estado do Paraná concentrou a maior proporção de hospitalizações (40.996), seguido por Santa Catarina (7.669) e Rio Grande do Sul (7.328). Observou-se predominância de internações no sexo feminino, representando 48.486 casos, enquanto o sexo masculino correspondeu a 7.507 internações. Em relação à faixa etária, a maior frequência ocorreu entre 30 e 39 anos (18.470 internações), seguida das faixas 40 a 49 anos (15.801) e 20 a 29 anos (9.841). Na análise temporal, verificou-se aumento progressivo das hospitalizações até 2019, com redução importante em 2020 e 2021 e posterior retomada de crescimento a partir de 2022. </w:t>
      </w:r>
      <w:r w:rsidRPr="006F62EF">
        <w:rPr>
          <w:b/>
          <w:color w:val="1A1A1A"/>
          <w:sz w:val="22"/>
        </w:rPr>
        <w:t>Conclusão:</w:t>
      </w:r>
      <w:r w:rsidRPr="006F62EF">
        <w:rPr>
          <w:color w:val="1A1A1A"/>
          <w:sz w:val="22"/>
        </w:rPr>
        <w:t xml:space="preserve"> As internações por obesidade apresentam elevada frequência na região Sul do Brasil, com predominância em mulheres e adultos jovens. Observou-se tendência de crescimento das hospitalizações ao longo do período analisado, com queda transitória nos anos iniciais da pandemia de COVID-19, seguida de retomada nos anos subsequentes. Esses achados reforçam a relevância da obesidade como importante fator associado ao aumento de doenças metabólicas e cardiovasculares, destacando a necessidade de estratégias integradas de prevenção e manejo dessa condição.</w:t>
      </w:r>
    </w:p>
    <w:p w:rsidR="000B5910" w:rsidRDefault="000B5910">
      <w:pPr>
        <w:pBdr>
          <w:bottom w:val="single" w:sz="4" w:space="2" w:color="808080"/>
        </w:pBdr>
        <w:spacing w:before="16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ULBRA</w:t>
      </w:r>
    </w:p>
    <w:p w:rsidR="000B5910" w:rsidRDefault="000B5910">
      <w:pPr>
        <w:sectPr w:rsidR="000B5910">
          <w:headerReference w:type="default" r:id="rId297"/>
          <w:footerReference w:type="default" r:id="rId298"/>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INTERNALIZAÇÃO DO ESTIGMA DE PESO ASSOCIADA AO SOFRIMENTO MENTAL E À IDEAÇÃO SUICIDA EM ADULTOS COM OBESIDADE NA ATENÇÃO PRIMÁRIA: ESTUDO TRANSVERSAL</w:t>
      </w:r>
    </w:p>
    <w:p w:rsidR="000B5910" w:rsidRPr="006F62EF" w:rsidRDefault="00057F5C" w:rsidP="006F62EF">
      <w:pPr>
        <w:spacing w:after="40" w:line="240" w:lineRule="auto"/>
        <w:jc w:val="right"/>
        <w:rPr>
          <w:szCs w:val="21"/>
        </w:rPr>
      </w:pPr>
      <w:r w:rsidRPr="006F62EF">
        <w:rPr>
          <w:color w:val="1A1A1A"/>
          <w:szCs w:val="21"/>
        </w:rPr>
        <w:t>Maria Eduarda Vieira Ferreira</w:t>
      </w:r>
      <w:r w:rsidRPr="006F62EF">
        <w:rPr>
          <w:color w:val="1A1A1A"/>
          <w:szCs w:val="21"/>
          <w:vertAlign w:val="superscript"/>
        </w:rPr>
        <w:t>1</w:t>
      </w:r>
      <w:r w:rsidRPr="006F62EF">
        <w:rPr>
          <w:szCs w:val="21"/>
        </w:rPr>
        <w:br/>
      </w:r>
      <w:r w:rsidRPr="006F62EF">
        <w:rPr>
          <w:color w:val="1A1A1A"/>
          <w:szCs w:val="21"/>
        </w:rPr>
        <w:t>Bruna Tertuliano da Silva</w:t>
      </w:r>
      <w:r w:rsidRPr="006F62EF">
        <w:rPr>
          <w:color w:val="1A1A1A"/>
          <w:szCs w:val="21"/>
          <w:vertAlign w:val="superscript"/>
        </w:rPr>
        <w:t>1</w:t>
      </w:r>
      <w:r w:rsidRPr="006F62EF">
        <w:rPr>
          <w:szCs w:val="21"/>
        </w:rPr>
        <w:br/>
      </w:r>
      <w:r w:rsidRPr="006F62EF">
        <w:rPr>
          <w:color w:val="1A1A1A"/>
          <w:szCs w:val="21"/>
        </w:rPr>
        <w:t>Lucas Strassburger Matzenbacher</w:t>
      </w:r>
      <w:r w:rsidRPr="006F62EF">
        <w:rPr>
          <w:color w:val="1A1A1A"/>
          <w:szCs w:val="21"/>
          <w:vertAlign w:val="superscript"/>
        </w:rPr>
        <w:t>1</w:t>
      </w:r>
      <w:r w:rsidRPr="006F62EF">
        <w:rPr>
          <w:szCs w:val="21"/>
        </w:rPr>
        <w:br/>
      </w:r>
      <w:r w:rsidRPr="006F62EF">
        <w:rPr>
          <w:color w:val="1A1A1A"/>
          <w:szCs w:val="21"/>
        </w:rPr>
        <w:t>Luís Eduardo Daltoé da Silva</w:t>
      </w:r>
      <w:r w:rsidRPr="006F62EF">
        <w:rPr>
          <w:color w:val="1A1A1A"/>
          <w:szCs w:val="21"/>
          <w:vertAlign w:val="superscript"/>
        </w:rPr>
        <w:t>1</w:t>
      </w:r>
      <w:r w:rsidRPr="006F62EF">
        <w:rPr>
          <w:szCs w:val="21"/>
        </w:rPr>
        <w:br/>
      </w:r>
      <w:r w:rsidRPr="006F62EF">
        <w:rPr>
          <w:color w:val="1A1A1A"/>
          <w:szCs w:val="21"/>
        </w:rPr>
        <w:t>Mariana Pires Ricachinevsky</w:t>
      </w:r>
      <w:r w:rsidRPr="006F62EF">
        <w:rPr>
          <w:color w:val="1A1A1A"/>
          <w:szCs w:val="21"/>
          <w:vertAlign w:val="superscript"/>
        </w:rPr>
        <w:t>1</w:t>
      </w:r>
      <w:r w:rsidRPr="006F62EF">
        <w:rPr>
          <w:szCs w:val="21"/>
        </w:rPr>
        <w:br/>
      </w:r>
      <w:r w:rsidRPr="006F62EF">
        <w:rPr>
          <w:color w:val="1A1A1A"/>
          <w:szCs w:val="21"/>
        </w:rPr>
        <w:t>Laura Gomes Boabaid de Barros</w:t>
      </w:r>
      <w:r w:rsidRPr="006F62EF">
        <w:rPr>
          <w:color w:val="1A1A1A"/>
          <w:szCs w:val="21"/>
          <w:vertAlign w:val="superscript"/>
        </w:rPr>
        <w:t>1</w:t>
      </w:r>
      <w:r w:rsidRPr="006F62EF">
        <w:rPr>
          <w:szCs w:val="21"/>
        </w:rPr>
        <w:br/>
      </w:r>
      <w:r w:rsidRPr="006F62EF">
        <w:rPr>
          <w:color w:val="1A1A1A"/>
          <w:szCs w:val="21"/>
        </w:rPr>
        <w:t>Mariana Kude Perrone</w:t>
      </w:r>
      <w:r w:rsidRPr="006F62EF">
        <w:rPr>
          <w:color w:val="1A1A1A"/>
          <w:szCs w:val="21"/>
          <w:vertAlign w:val="superscript"/>
        </w:rPr>
        <w:t>1</w:t>
      </w:r>
      <w:r w:rsidRPr="006F62EF">
        <w:rPr>
          <w:szCs w:val="21"/>
        </w:rPr>
        <w:br/>
      </w:r>
      <w:r w:rsidRPr="006F62EF">
        <w:rPr>
          <w:color w:val="1A1A1A"/>
          <w:szCs w:val="21"/>
        </w:rPr>
        <w:t>Giovana Berger de Oliveira</w:t>
      </w:r>
      <w:r w:rsidRPr="006F62EF">
        <w:rPr>
          <w:color w:val="1A1A1A"/>
          <w:szCs w:val="21"/>
          <w:vertAlign w:val="superscript"/>
        </w:rPr>
        <w:t>1</w:t>
      </w:r>
      <w:r w:rsidRPr="006F62EF">
        <w:rPr>
          <w:szCs w:val="21"/>
        </w:rPr>
        <w:br/>
      </w:r>
      <w:r w:rsidRPr="006F62EF">
        <w:rPr>
          <w:color w:val="1A1A1A"/>
          <w:szCs w:val="21"/>
        </w:rPr>
        <w:t>Ana Gabriela Rodrigues Haussen</w:t>
      </w:r>
      <w:r w:rsidRPr="006F62EF">
        <w:rPr>
          <w:color w:val="1A1A1A"/>
          <w:szCs w:val="21"/>
          <w:vertAlign w:val="superscript"/>
        </w:rPr>
        <w:t>1</w:t>
      </w:r>
      <w:r w:rsidRPr="006F62EF">
        <w:rPr>
          <w:szCs w:val="21"/>
        </w:rPr>
        <w:br/>
      </w:r>
      <w:r w:rsidRPr="006F62EF">
        <w:rPr>
          <w:color w:val="1A1A1A"/>
          <w:szCs w:val="21"/>
        </w:rPr>
        <w:t>Frederico Ludwig da Costa</w:t>
      </w:r>
      <w:r w:rsidRPr="006F62EF">
        <w:rPr>
          <w:color w:val="1A1A1A"/>
          <w:szCs w:val="21"/>
          <w:vertAlign w:val="superscript"/>
        </w:rPr>
        <w:t>1</w:t>
      </w:r>
      <w:r w:rsidRPr="006F62EF">
        <w:rPr>
          <w:szCs w:val="21"/>
        </w:rPr>
        <w:br/>
      </w:r>
      <w:r w:rsidRPr="006F62EF">
        <w:rPr>
          <w:color w:val="1A1A1A"/>
          <w:szCs w:val="21"/>
        </w:rPr>
        <w:t>Gabriela Heiden Teló</w:t>
      </w:r>
      <w:r w:rsidRPr="006F62EF">
        <w:rPr>
          <w:color w:val="1A1A1A"/>
          <w:szCs w:val="21"/>
          <w:vertAlign w:val="superscript"/>
        </w:rPr>
        <w:t>1</w:t>
      </w:r>
    </w:p>
    <w:p w:rsidR="000B5910" w:rsidRPr="006F62EF" w:rsidRDefault="00057F5C" w:rsidP="006F62EF">
      <w:pPr>
        <w:spacing w:before="200" w:after="100" w:line="240" w:lineRule="auto"/>
        <w:rPr>
          <w:sz w:val="22"/>
        </w:rPr>
      </w:pPr>
      <w:r w:rsidRPr="006F62EF">
        <w:rPr>
          <w:b/>
          <w:color w:val="1A1A1A"/>
          <w:sz w:val="22"/>
        </w:rPr>
        <w:t>RESUMO</w:t>
      </w:r>
    </w:p>
    <w:p w:rsidR="000B5910" w:rsidRPr="006F62EF" w:rsidRDefault="00057F5C" w:rsidP="006F62EF">
      <w:pPr>
        <w:spacing w:after="80" w:line="240" w:lineRule="auto"/>
        <w:jc w:val="both"/>
        <w:rPr>
          <w:sz w:val="22"/>
        </w:rPr>
      </w:pPr>
      <w:r w:rsidRPr="006F62EF">
        <w:rPr>
          <w:b/>
          <w:color w:val="1A1A1A"/>
          <w:sz w:val="22"/>
        </w:rPr>
        <w:t>Introdução:</w:t>
      </w:r>
      <w:r w:rsidRPr="006F62EF">
        <w:rPr>
          <w:color w:val="1A1A1A"/>
          <w:sz w:val="22"/>
        </w:rPr>
        <w:t xml:space="preserve"> A obesidade é uma doença crônica multifatorial cujos impactos transcendem os domínios clínicos, abrangendo também dimensões emocionais e sociais. No entanto, as evidências sobre </w:t>
      </w:r>
      <w:proofErr w:type="gramStart"/>
      <w:r w:rsidRPr="006F62EF">
        <w:rPr>
          <w:color w:val="1A1A1A"/>
          <w:sz w:val="22"/>
        </w:rPr>
        <w:t>a</w:t>
      </w:r>
      <w:proofErr w:type="gramEnd"/>
      <w:r w:rsidRPr="006F62EF">
        <w:rPr>
          <w:color w:val="1A1A1A"/>
          <w:sz w:val="22"/>
        </w:rPr>
        <w:t xml:space="preserve"> associação entre a internalização do estigma relacionado ao peso e desfechos de saúde mental em pessoas com obesidade ainda são limitadas, particularmente no contexto da atenção primária à saúde. </w:t>
      </w:r>
      <w:r w:rsidRPr="006F62EF">
        <w:rPr>
          <w:b/>
          <w:color w:val="1A1A1A"/>
          <w:sz w:val="22"/>
        </w:rPr>
        <w:t>Objetivo:</w:t>
      </w:r>
      <w:r w:rsidRPr="006F62EF">
        <w:rPr>
          <w:color w:val="1A1A1A"/>
          <w:sz w:val="22"/>
        </w:rPr>
        <w:t xml:space="preserve"> Avaliar a associação entre </w:t>
      </w:r>
      <w:proofErr w:type="gramStart"/>
      <w:r w:rsidRPr="006F62EF">
        <w:rPr>
          <w:color w:val="1A1A1A"/>
          <w:sz w:val="22"/>
        </w:rPr>
        <w:t>a</w:t>
      </w:r>
      <w:proofErr w:type="gramEnd"/>
      <w:r w:rsidRPr="006F62EF">
        <w:rPr>
          <w:color w:val="1A1A1A"/>
          <w:sz w:val="22"/>
        </w:rPr>
        <w:t xml:space="preserve"> internalização do estigma relacionado ao peso e desfechos de saúde mental em indivíduos com obesidade.</w:t>
      </w:r>
      <w:r w:rsidRPr="006F62EF">
        <w:rPr>
          <w:b/>
          <w:color w:val="1A1A1A"/>
          <w:sz w:val="22"/>
        </w:rPr>
        <w:t xml:space="preserve"> Métodos:</w:t>
      </w:r>
      <w:r w:rsidRPr="006F62EF">
        <w:rPr>
          <w:color w:val="1A1A1A"/>
          <w:sz w:val="22"/>
        </w:rPr>
        <w:t xml:space="preserve"> Foi realizado um estudo transversal incluindo adultos com idade ≥18 anos e obesidade (IMC ≥30 kg/m²) que receberam atendimento em uma unidade de atenção primária à saúde no sul do Brasil. Os participantes foram avaliados por meio de entrevistas presenciais conduzidas pela equipe de pesquisa, com coleta de dados clínicos e demográficos e aplicação de questionários validados para a população estudada. O desfecho do estudo foi </w:t>
      </w:r>
      <w:proofErr w:type="gramStart"/>
      <w:r w:rsidRPr="006F62EF">
        <w:rPr>
          <w:color w:val="1A1A1A"/>
          <w:sz w:val="22"/>
        </w:rPr>
        <w:t>a</w:t>
      </w:r>
      <w:proofErr w:type="gramEnd"/>
      <w:r w:rsidRPr="006F62EF">
        <w:rPr>
          <w:color w:val="1A1A1A"/>
          <w:sz w:val="22"/>
        </w:rPr>
        <w:t xml:space="preserve"> associação entre a internalização do estigma de peso e a prevalência de rastreamento positivo para sofrimento mental e ideação suicida, estimada por regressão de Poisson com variância robusta com ajuste para sexo, idade e renda familiar mensal. </w:t>
      </w:r>
      <w:proofErr w:type="gramStart"/>
      <w:r w:rsidRPr="006F62EF">
        <w:rPr>
          <w:color w:val="1A1A1A"/>
          <w:sz w:val="22"/>
        </w:rPr>
        <w:t>A</w:t>
      </w:r>
      <w:proofErr w:type="gramEnd"/>
      <w:r w:rsidRPr="006F62EF">
        <w:rPr>
          <w:color w:val="1A1A1A"/>
          <w:sz w:val="22"/>
        </w:rPr>
        <w:t xml:space="preserve"> internalização do estigma de peso e o sofrimento mental foram avaliados pela Weight Bias Internalization Scale (WBIS) e pelo Self-Reporting Questionnaire (SRQ-20), respectivamente, enquanto a ideação suicida foi investigada por pergunta direta autorreferida.</w:t>
      </w:r>
      <w:r w:rsidRPr="006F62EF">
        <w:rPr>
          <w:b/>
          <w:color w:val="1A1A1A"/>
          <w:sz w:val="22"/>
        </w:rPr>
        <w:t xml:space="preserve"> Resultados: </w:t>
      </w:r>
      <w:r w:rsidRPr="006F62EF">
        <w:rPr>
          <w:color w:val="1A1A1A"/>
          <w:sz w:val="22"/>
        </w:rPr>
        <w:t xml:space="preserve">Foram incluídos 156 participantes, com idade média de 41,9 ± 13,2 anos; 83,3% eram do sexo feminino e 49,4% eram brancos; o IMC médio foi de 36,2 ± 4,7 kg/m² e a pontuação média do WBIS foi de 40,7 ± 16,1. A prevalência de rastreamento positivo para sofrimento mental foi de 64,1%, enquanto 17,9% dos participantes relataram ideação suicida. Após ajuste para fatores de confusão, para cada aumento de 10 pontos na pontuação do WBIS observou-se aumento de 28% na prevalência de sofrimento mental (RP, 1,28; IC95%, 1,18–1,39; p&lt;0,0001) e de 63% na prevalência de ideação suicida (RP, 1,63; IC95% 1,23–2,16; p=0,0015). </w:t>
      </w:r>
      <w:r w:rsidRPr="006F62EF">
        <w:rPr>
          <w:b/>
          <w:color w:val="1A1A1A"/>
          <w:sz w:val="22"/>
        </w:rPr>
        <w:t>Conclusão:</w:t>
      </w:r>
      <w:r w:rsidRPr="006F62EF">
        <w:rPr>
          <w:color w:val="1A1A1A"/>
          <w:sz w:val="22"/>
        </w:rPr>
        <w:t xml:space="preserve"> A internalização do estigma relacionado ao peso esteve associada a maior prevalência de rastreamento positivo para sofrimento mental e ideação suicida em adultos com obesidade atendidos na atenção primária à saúde. Esses achados atentam para a relevância do estigma relacionado ao peso como possível determinante psicossocial da saúde mental nesta população.</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PUCRS</w:t>
      </w:r>
    </w:p>
    <w:p w:rsidR="000B5910" w:rsidRDefault="000B5910">
      <w:pPr>
        <w:sectPr w:rsidR="000B5910">
          <w:headerReference w:type="default" r:id="rId299"/>
          <w:footerReference w:type="default" r:id="rId300"/>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DISTORÇÃO DA IMAGEM CORPORAL E INTERNALIZAÇÃO DO ESTIGMA DE PESO EM INDIVÍDUOS COM OBESIDADE NA ATENÇÃO PRIMÁRIA</w:t>
      </w:r>
    </w:p>
    <w:p w:rsidR="000B5910" w:rsidRPr="006F62EF" w:rsidRDefault="00057F5C">
      <w:pPr>
        <w:spacing w:after="40" w:line="252" w:lineRule="auto"/>
        <w:jc w:val="right"/>
        <w:rPr>
          <w:szCs w:val="21"/>
        </w:rPr>
      </w:pPr>
      <w:r w:rsidRPr="006F62EF">
        <w:rPr>
          <w:color w:val="1A1A1A"/>
          <w:szCs w:val="21"/>
        </w:rPr>
        <w:t>Luís Eduardo Daltoé da Silva</w:t>
      </w:r>
      <w:r w:rsidRPr="006F62EF">
        <w:rPr>
          <w:color w:val="1A1A1A"/>
          <w:szCs w:val="21"/>
          <w:vertAlign w:val="superscript"/>
        </w:rPr>
        <w:t>1</w:t>
      </w:r>
      <w:r w:rsidRPr="006F62EF">
        <w:rPr>
          <w:szCs w:val="21"/>
        </w:rPr>
        <w:br/>
      </w:r>
      <w:r w:rsidRPr="006F62EF">
        <w:rPr>
          <w:color w:val="1A1A1A"/>
          <w:szCs w:val="21"/>
        </w:rPr>
        <w:t>Lucas S. Matzenbacher</w:t>
      </w:r>
      <w:r w:rsidRPr="006F62EF">
        <w:rPr>
          <w:color w:val="1A1A1A"/>
          <w:szCs w:val="21"/>
          <w:vertAlign w:val="superscript"/>
        </w:rPr>
        <w:t>1</w:t>
      </w:r>
      <w:r w:rsidRPr="006F62EF">
        <w:rPr>
          <w:szCs w:val="21"/>
        </w:rPr>
        <w:br/>
      </w:r>
      <w:r w:rsidRPr="006F62EF">
        <w:rPr>
          <w:color w:val="1A1A1A"/>
          <w:szCs w:val="21"/>
        </w:rPr>
        <w:t>Giovana Berger de Oliveira</w:t>
      </w:r>
      <w:r w:rsidRPr="006F62EF">
        <w:rPr>
          <w:color w:val="1A1A1A"/>
          <w:szCs w:val="21"/>
          <w:vertAlign w:val="superscript"/>
        </w:rPr>
        <w:t>1</w:t>
      </w:r>
      <w:r w:rsidRPr="006F62EF">
        <w:rPr>
          <w:szCs w:val="21"/>
        </w:rPr>
        <w:br/>
      </w:r>
      <w:r w:rsidRPr="006F62EF">
        <w:rPr>
          <w:color w:val="1A1A1A"/>
          <w:szCs w:val="21"/>
        </w:rPr>
        <w:t>Bruna Tertuliano da Silva</w:t>
      </w:r>
      <w:r w:rsidRPr="006F62EF">
        <w:rPr>
          <w:color w:val="1A1A1A"/>
          <w:szCs w:val="21"/>
          <w:vertAlign w:val="superscript"/>
        </w:rPr>
        <w:t>1</w:t>
      </w:r>
      <w:r w:rsidRPr="006F62EF">
        <w:rPr>
          <w:szCs w:val="21"/>
        </w:rPr>
        <w:br/>
      </w:r>
      <w:r w:rsidRPr="006F62EF">
        <w:rPr>
          <w:color w:val="1A1A1A"/>
          <w:szCs w:val="21"/>
        </w:rPr>
        <w:t>Maria Eduarda Vieira Ferreira</w:t>
      </w:r>
      <w:r w:rsidRPr="006F62EF">
        <w:rPr>
          <w:color w:val="1A1A1A"/>
          <w:szCs w:val="21"/>
          <w:vertAlign w:val="superscript"/>
        </w:rPr>
        <w:t>1</w:t>
      </w:r>
      <w:r w:rsidRPr="006F62EF">
        <w:rPr>
          <w:szCs w:val="21"/>
        </w:rPr>
        <w:br/>
      </w:r>
      <w:r w:rsidRPr="006F62EF">
        <w:rPr>
          <w:color w:val="1A1A1A"/>
          <w:szCs w:val="21"/>
        </w:rPr>
        <w:t>Mariana Pires Ricachinevsky</w:t>
      </w:r>
      <w:r w:rsidRPr="006F62EF">
        <w:rPr>
          <w:color w:val="1A1A1A"/>
          <w:szCs w:val="21"/>
          <w:vertAlign w:val="superscript"/>
        </w:rPr>
        <w:t>1</w:t>
      </w:r>
      <w:r w:rsidRPr="006F62EF">
        <w:rPr>
          <w:szCs w:val="21"/>
        </w:rPr>
        <w:br/>
      </w:r>
      <w:r w:rsidRPr="006F62EF">
        <w:rPr>
          <w:color w:val="1A1A1A"/>
          <w:szCs w:val="21"/>
        </w:rPr>
        <w:t>Laura Gomes Boabaid de Barros</w:t>
      </w:r>
      <w:r w:rsidRPr="006F62EF">
        <w:rPr>
          <w:color w:val="1A1A1A"/>
          <w:szCs w:val="21"/>
          <w:vertAlign w:val="superscript"/>
        </w:rPr>
        <w:t>1</w:t>
      </w:r>
      <w:r w:rsidRPr="006F62EF">
        <w:rPr>
          <w:szCs w:val="21"/>
        </w:rPr>
        <w:br/>
      </w:r>
      <w:r w:rsidRPr="006F62EF">
        <w:rPr>
          <w:color w:val="1A1A1A"/>
          <w:szCs w:val="21"/>
        </w:rPr>
        <w:t>Mariana Kude Perrone</w:t>
      </w:r>
      <w:r w:rsidRPr="006F62EF">
        <w:rPr>
          <w:color w:val="1A1A1A"/>
          <w:szCs w:val="21"/>
          <w:vertAlign w:val="superscript"/>
        </w:rPr>
        <w:t>1</w:t>
      </w:r>
      <w:r w:rsidRPr="006F62EF">
        <w:rPr>
          <w:szCs w:val="21"/>
        </w:rPr>
        <w:br/>
      </w:r>
      <w:r w:rsidRPr="006F62EF">
        <w:rPr>
          <w:color w:val="1A1A1A"/>
          <w:szCs w:val="21"/>
        </w:rPr>
        <w:t>Ana Gabriela Rodrigues Haussen</w:t>
      </w:r>
      <w:r w:rsidRPr="006F62EF">
        <w:rPr>
          <w:color w:val="1A1A1A"/>
          <w:szCs w:val="21"/>
          <w:vertAlign w:val="superscript"/>
        </w:rPr>
        <w:t>1</w:t>
      </w:r>
      <w:r w:rsidRPr="006F62EF">
        <w:rPr>
          <w:szCs w:val="21"/>
        </w:rPr>
        <w:br/>
      </w:r>
      <w:r w:rsidRPr="006F62EF">
        <w:rPr>
          <w:color w:val="1A1A1A"/>
          <w:szCs w:val="21"/>
        </w:rPr>
        <w:t>Frederico Ludwig da Costa</w:t>
      </w:r>
      <w:r w:rsidRPr="006F62EF">
        <w:rPr>
          <w:color w:val="1A1A1A"/>
          <w:szCs w:val="21"/>
          <w:vertAlign w:val="superscript"/>
        </w:rPr>
        <w:t>1</w:t>
      </w:r>
      <w:r w:rsidRPr="006F62EF">
        <w:rPr>
          <w:szCs w:val="21"/>
        </w:rPr>
        <w:br/>
      </w:r>
      <w:r w:rsidRPr="006F62EF">
        <w:rPr>
          <w:color w:val="1A1A1A"/>
          <w:szCs w:val="21"/>
        </w:rPr>
        <w:t>Gabriela Heiden Teló</w:t>
      </w:r>
      <w:r w:rsidRPr="006F62EF">
        <w:rPr>
          <w:color w:val="1A1A1A"/>
          <w:szCs w:val="21"/>
          <w:vertAlign w:val="superscript"/>
        </w:rPr>
        <w:t>1</w:t>
      </w:r>
    </w:p>
    <w:p w:rsidR="000B5910" w:rsidRPr="006F62EF" w:rsidRDefault="00057F5C">
      <w:pPr>
        <w:spacing w:before="200" w:after="100"/>
        <w:rPr>
          <w:sz w:val="22"/>
        </w:rPr>
      </w:pPr>
      <w:r w:rsidRPr="006F62EF">
        <w:rPr>
          <w:b/>
          <w:color w:val="1A1A1A"/>
          <w:sz w:val="22"/>
        </w:rPr>
        <w:t>RESUMO</w:t>
      </w:r>
    </w:p>
    <w:p w:rsidR="000B5910" w:rsidRPr="006F62EF" w:rsidRDefault="00057F5C" w:rsidP="006F62EF">
      <w:pPr>
        <w:spacing w:after="80" w:line="240" w:lineRule="auto"/>
        <w:jc w:val="both"/>
        <w:rPr>
          <w:sz w:val="22"/>
        </w:rPr>
      </w:pPr>
      <w:r w:rsidRPr="006F62EF">
        <w:rPr>
          <w:b/>
          <w:color w:val="1A1A1A"/>
          <w:sz w:val="22"/>
        </w:rPr>
        <w:t>Introdução:</w:t>
      </w:r>
      <w:r w:rsidRPr="006F62EF">
        <w:rPr>
          <w:color w:val="1A1A1A"/>
          <w:sz w:val="22"/>
        </w:rPr>
        <w:t xml:space="preserve"> A obesidade está associada </w:t>
      </w:r>
      <w:proofErr w:type="gramStart"/>
      <w:r w:rsidRPr="006F62EF">
        <w:rPr>
          <w:color w:val="1A1A1A"/>
          <w:sz w:val="22"/>
        </w:rPr>
        <w:t>a</w:t>
      </w:r>
      <w:proofErr w:type="gramEnd"/>
      <w:r w:rsidRPr="006F62EF">
        <w:rPr>
          <w:color w:val="1A1A1A"/>
          <w:sz w:val="22"/>
        </w:rPr>
        <w:t xml:space="preserve"> estigmas sociais que podem influenciar a percepção da imagem corporal. No entanto, a discrepância entre a percepção do próprio peso e o índice de massa corporal (IMC) ainda é pouco explorada. </w:t>
      </w:r>
      <w:r w:rsidRPr="006F62EF">
        <w:rPr>
          <w:b/>
          <w:color w:val="1A1A1A"/>
          <w:sz w:val="22"/>
        </w:rPr>
        <w:t>Objetivo:</w:t>
      </w:r>
      <w:r w:rsidRPr="006F62EF">
        <w:rPr>
          <w:color w:val="1A1A1A"/>
          <w:sz w:val="22"/>
        </w:rPr>
        <w:t xml:space="preserve"> Avaliar a distorção da percepção da imagem corporal em indivíduos com obesidade e sua associação com </w:t>
      </w:r>
      <w:proofErr w:type="gramStart"/>
      <w:r w:rsidRPr="006F62EF">
        <w:rPr>
          <w:color w:val="1A1A1A"/>
          <w:sz w:val="22"/>
        </w:rPr>
        <w:t>a</w:t>
      </w:r>
      <w:proofErr w:type="gramEnd"/>
      <w:r w:rsidRPr="006F62EF">
        <w:rPr>
          <w:color w:val="1A1A1A"/>
          <w:sz w:val="22"/>
        </w:rPr>
        <w:t xml:space="preserve"> internalização do estigma de peso</w:t>
      </w:r>
      <w:r w:rsidRPr="006F62EF">
        <w:rPr>
          <w:b/>
          <w:color w:val="1A1A1A"/>
          <w:sz w:val="22"/>
        </w:rPr>
        <w:t>. Métodos</w:t>
      </w:r>
      <w:r w:rsidRPr="006F62EF">
        <w:rPr>
          <w:color w:val="1A1A1A"/>
          <w:sz w:val="22"/>
        </w:rPr>
        <w:t xml:space="preserve">: Estudo transversal com indivíduos ≥18 anos e obesidade (IMC ≥30 kg/m²) atendidos em uma unidade de atenção primária no sul do Brasil. A percepção da imagem corporal foi avaliada por pergunta direta e pelo Teste de Escalas de Silhuetas, no qual os participantes selecionaram a silhueta que melhor os representava. </w:t>
      </w:r>
      <w:proofErr w:type="gramStart"/>
      <w:r w:rsidRPr="006F62EF">
        <w:rPr>
          <w:color w:val="1A1A1A"/>
          <w:sz w:val="22"/>
        </w:rPr>
        <w:t>A</w:t>
      </w:r>
      <w:proofErr w:type="gramEnd"/>
      <w:r w:rsidRPr="006F62EF">
        <w:rPr>
          <w:color w:val="1A1A1A"/>
          <w:sz w:val="22"/>
        </w:rPr>
        <w:t xml:space="preserve"> internalização do estigma de peso foi avaliada pela Weight Bias Internalization Scale (WBIS), na qual escores mais elevados indicam maior estigma internalizado. A distorção da percepção corporal foi definida como a diferença entre o IMC percebido e o aferido (ΔIMC) e foi classificada como percepção adequada quando o ΔIMC esteve entre −1,25 e 1,25; como subestimação quando o IMC percebido foi substancialmente menor que o aferido (ΔIMC &lt;−1,25); e como superestimação quando o IMC percebido foi substancialmente maior que o aferido (ΔIMC &gt;1,25). Foi utilizado modelo de regressão linear para avaliar </w:t>
      </w:r>
      <w:proofErr w:type="gramStart"/>
      <w:r w:rsidRPr="006F62EF">
        <w:rPr>
          <w:color w:val="1A1A1A"/>
          <w:sz w:val="22"/>
        </w:rPr>
        <w:t>a</w:t>
      </w:r>
      <w:proofErr w:type="gramEnd"/>
      <w:r w:rsidRPr="006F62EF">
        <w:rPr>
          <w:color w:val="1A1A1A"/>
          <w:sz w:val="22"/>
        </w:rPr>
        <w:t xml:space="preserve"> associação entre a pontuação no WBIS e o ΔIMC</w:t>
      </w:r>
      <w:r w:rsidRPr="006F62EF">
        <w:rPr>
          <w:b/>
          <w:color w:val="1A1A1A"/>
          <w:sz w:val="22"/>
        </w:rPr>
        <w:t>. Resultados:</w:t>
      </w:r>
      <w:r w:rsidRPr="006F62EF">
        <w:rPr>
          <w:color w:val="1A1A1A"/>
          <w:sz w:val="22"/>
        </w:rPr>
        <w:t xml:space="preserve"> Foram incluídos 156 participantes (idade média 41,9 ± 13,2 anos; 83% do sexo feminino; IMC médio 36,2 ± 4,7 kg/m²). Apenas 38,0% (n = 60) identificaram-se como tendo obesidade, enquanto 53,9% (n = 84) perceberam-se como apresentando sobrepeso. A comparação entre o IMC percebido e aferido revelou um ΔIMC médio de 4,5 kg/m², indicando predominância de superestimação do tamanho corporal, observada em 73,1% dos participantes. Entre esses, a maioria apresentou discrepâncias moderadas entre o IMC percebido e o real: 37,7% apresentaram diferença &lt;5 kg/m², 46,5% entre 5-10 kg/m² e 15,8% &gt;10 kg/m². Uma pontuação mais alta no WBIS esteve associada a maior distorção da percepção corporal, com incremento de 0,64 kg/m² no ΔIMC para cada aumento de 10 pontos no WBIS (IC 95%: 0,18–1,09; p = 0,006). </w:t>
      </w:r>
      <w:r w:rsidRPr="006F62EF">
        <w:rPr>
          <w:b/>
          <w:color w:val="1A1A1A"/>
          <w:sz w:val="22"/>
        </w:rPr>
        <w:t xml:space="preserve">Conclusão: </w:t>
      </w:r>
      <w:r w:rsidRPr="006F62EF">
        <w:rPr>
          <w:color w:val="1A1A1A"/>
          <w:sz w:val="22"/>
        </w:rPr>
        <w:t>Nossos resultados demonstram que indivíduos com obesidade frequentemente não se reconhecem como tendo a condição, mas tendem a superestimar o tamanho corporal, especialmente quando apresentam maior internalização do estigma de peso. Os achados reforçam o papel do estigma na percepção corporal e no tratamento da obesidade.</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Pontifícia Universidade Católica do Rio Grande do Sul (PUCRS</w:t>
      </w:r>
    </w:p>
    <w:p w:rsidR="000B5910" w:rsidRDefault="000B5910">
      <w:pPr>
        <w:sectPr w:rsidR="000B5910">
          <w:headerReference w:type="default" r:id="rId301"/>
          <w:footerReference w:type="default" r:id="rId302"/>
          <w:pgSz w:w="12240" w:h="15840"/>
          <w:pgMar w:top="1417" w:right="1417" w:bottom="1417" w:left="1417" w:header="680" w:footer="680" w:gutter="0"/>
          <w:cols w:space="720"/>
        </w:sectPr>
      </w:pPr>
    </w:p>
    <w:p w:rsidR="000B5910" w:rsidRPr="006F62EF" w:rsidRDefault="00057F5C">
      <w:pPr>
        <w:spacing w:before="80" w:line="252" w:lineRule="auto"/>
        <w:jc w:val="center"/>
        <w:rPr>
          <w:sz w:val="28"/>
          <w:szCs w:val="28"/>
        </w:rPr>
      </w:pPr>
      <w:r w:rsidRPr="006F62EF">
        <w:rPr>
          <w:b/>
          <w:color w:val="1A1A1A"/>
          <w:sz w:val="28"/>
          <w:szCs w:val="28"/>
        </w:rPr>
        <w:lastRenderedPageBreak/>
        <w:t>PERCEPÇÃO DE PRESSÃO PARA PERDA DE PESO ENTRE USUÁRIOS DE AGONISTAS DO RECEPTOR DE GLP-1 NO BRASIL: UM ESTUDO TRANSVERSAL</w:t>
      </w:r>
    </w:p>
    <w:p w:rsidR="000B5910" w:rsidRPr="006F62EF" w:rsidRDefault="00057F5C" w:rsidP="006F62EF">
      <w:pPr>
        <w:spacing w:after="40" w:line="240" w:lineRule="auto"/>
        <w:jc w:val="right"/>
        <w:rPr>
          <w:szCs w:val="21"/>
        </w:rPr>
      </w:pPr>
      <w:r w:rsidRPr="006F62EF">
        <w:rPr>
          <w:color w:val="1A1A1A"/>
          <w:szCs w:val="21"/>
        </w:rPr>
        <w:t>Mariana Pires Ricachinevsky</w:t>
      </w:r>
      <w:r w:rsidRPr="006F62EF">
        <w:rPr>
          <w:color w:val="1A1A1A"/>
          <w:szCs w:val="21"/>
          <w:vertAlign w:val="superscript"/>
        </w:rPr>
        <w:t>1</w:t>
      </w:r>
      <w:r w:rsidRPr="006F62EF">
        <w:rPr>
          <w:szCs w:val="21"/>
        </w:rPr>
        <w:br/>
      </w:r>
      <w:r w:rsidRPr="006F62EF">
        <w:rPr>
          <w:color w:val="1A1A1A"/>
          <w:szCs w:val="21"/>
        </w:rPr>
        <w:t>Lucas Strassburger Matzenbacher</w:t>
      </w:r>
      <w:r w:rsidRPr="006F62EF">
        <w:rPr>
          <w:color w:val="1A1A1A"/>
          <w:szCs w:val="21"/>
          <w:vertAlign w:val="superscript"/>
        </w:rPr>
        <w:t>1</w:t>
      </w:r>
      <w:r w:rsidRPr="006F62EF">
        <w:rPr>
          <w:szCs w:val="21"/>
        </w:rPr>
        <w:br/>
      </w:r>
      <w:r w:rsidRPr="006F62EF">
        <w:rPr>
          <w:color w:val="1A1A1A"/>
          <w:szCs w:val="21"/>
        </w:rPr>
        <w:t>Luiza Machado Blank</w:t>
      </w:r>
      <w:r w:rsidRPr="006F62EF">
        <w:rPr>
          <w:color w:val="1A1A1A"/>
          <w:szCs w:val="21"/>
          <w:vertAlign w:val="superscript"/>
        </w:rPr>
        <w:t>1</w:t>
      </w:r>
      <w:r w:rsidRPr="006F62EF">
        <w:rPr>
          <w:szCs w:val="21"/>
        </w:rPr>
        <w:br/>
      </w:r>
      <w:r w:rsidRPr="006F62EF">
        <w:rPr>
          <w:color w:val="1A1A1A"/>
          <w:szCs w:val="21"/>
        </w:rPr>
        <w:t>Laura Gomes Boabaid de Barros</w:t>
      </w:r>
      <w:r w:rsidRPr="006F62EF">
        <w:rPr>
          <w:color w:val="1A1A1A"/>
          <w:szCs w:val="21"/>
          <w:vertAlign w:val="superscript"/>
        </w:rPr>
        <w:t>1</w:t>
      </w:r>
      <w:r w:rsidRPr="006F62EF">
        <w:rPr>
          <w:szCs w:val="21"/>
        </w:rPr>
        <w:br/>
      </w:r>
      <w:r w:rsidRPr="006F62EF">
        <w:rPr>
          <w:color w:val="1A1A1A"/>
          <w:szCs w:val="21"/>
        </w:rPr>
        <w:t>Mariana Kude Perrone</w:t>
      </w:r>
      <w:r w:rsidRPr="006F62EF">
        <w:rPr>
          <w:color w:val="1A1A1A"/>
          <w:szCs w:val="21"/>
          <w:vertAlign w:val="superscript"/>
        </w:rPr>
        <w:t>1</w:t>
      </w:r>
      <w:r w:rsidRPr="006F62EF">
        <w:rPr>
          <w:szCs w:val="21"/>
        </w:rPr>
        <w:br/>
      </w:r>
      <w:r w:rsidRPr="006F62EF">
        <w:rPr>
          <w:color w:val="1A1A1A"/>
          <w:szCs w:val="21"/>
        </w:rPr>
        <w:t>Ana Gabriela Rodrigues Haussen</w:t>
      </w:r>
      <w:r w:rsidRPr="006F62EF">
        <w:rPr>
          <w:color w:val="1A1A1A"/>
          <w:szCs w:val="21"/>
          <w:vertAlign w:val="superscript"/>
        </w:rPr>
        <w:t>1</w:t>
      </w:r>
      <w:r w:rsidRPr="006F62EF">
        <w:rPr>
          <w:szCs w:val="21"/>
        </w:rPr>
        <w:br/>
      </w:r>
      <w:r w:rsidRPr="006F62EF">
        <w:rPr>
          <w:color w:val="1A1A1A"/>
          <w:szCs w:val="21"/>
        </w:rPr>
        <w:t>Solana de Melo</w:t>
      </w:r>
      <w:r w:rsidRPr="006F62EF">
        <w:rPr>
          <w:color w:val="1A1A1A"/>
          <w:szCs w:val="21"/>
          <w:vertAlign w:val="superscript"/>
        </w:rPr>
        <w:t>1</w:t>
      </w:r>
      <w:r w:rsidRPr="006F62EF">
        <w:rPr>
          <w:szCs w:val="21"/>
        </w:rPr>
        <w:br/>
      </w:r>
      <w:r w:rsidRPr="006F62EF">
        <w:rPr>
          <w:color w:val="1A1A1A"/>
          <w:szCs w:val="21"/>
        </w:rPr>
        <w:t>Laura Mattiello Ribeiro</w:t>
      </w:r>
      <w:r w:rsidRPr="006F62EF">
        <w:rPr>
          <w:color w:val="1A1A1A"/>
          <w:szCs w:val="21"/>
          <w:vertAlign w:val="superscript"/>
        </w:rPr>
        <w:t>1</w:t>
      </w:r>
      <w:r w:rsidRPr="006F62EF">
        <w:rPr>
          <w:szCs w:val="21"/>
        </w:rPr>
        <w:br/>
      </w:r>
      <w:r w:rsidRPr="006F62EF">
        <w:rPr>
          <w:color w:val="1A1A1A"/>
          <w:szCs w:val="21"/>
        </w:rPr>
        <w:t>Helena Toniazzi Uchôa</w:t>
      </w:r>
      <w:r w:rsidRPr="006F62EF">
        <w:rPr>
          <w:color w:val="1A1A1A"/>
          <w:szCs w:val="21"/>
          <w:vertAlign w:val="superscript"/>
        </w:rPr>
        <w:t>1</w:t>
      </w:r>
      <w:r w:rsidRPr="006F62EF">
        <w:rPr>
          <w:szCs w:val="21"/>
        </w:rPr>
        <w:br/>
      </w:r>
      <w:r w:rsidRPr="006F62EF">
        <w:rPr>
          <w:color w:val="1A1A1A"/>
          <w:szCs w:val="21"/>
        </w:rPr>
        <w:t>Taíse Rosa de Carvalho</w:t>
      </w:r>
      <w:r w:rsidRPr="006F62EF">
        <w:rPr>
          <w:color w:val="1A1A1A"/>
          <w:szCs w:val="21"/>
          <w:vertAlign w:val="superscript"/>
        </w:rPr>
        <w:t>1</w:t>
      </w:r>
      <w:r w:rsidRPr="006F62EF">
        <w:rPr>
          <w:szCs w:val="21"/>
        </w:rPr>
        <w:br/>
      </w:r>
      <w:r w:rsidRPr="006F62EF">
        <w:rPr>
          <w:color w:val="1A1A1A"/>
          <w:szCs w:val="21"/>
        </w:rPr>
        <w:t>Gabriela Heiden Teló</w:t>
      </w:r>
      <w:r w:rsidRPr="006F62EF">
        <w:rPr>
          <w:color w:val="1A1A1A"/>
          <w:szCs w:val="21"/>
          <w:vertAlign w:val="superscript"/>
        </w:rPr>
        <w:t>1</w:t>
      </w:r>
    </w:p>
    <w:p w:rsidR="000B5910" w:rsidRPr="006F62EF" w:rsidRDefault="00057F5C" w:rsidP="006F62EF">
      <w:pPr>
        <w:spacing w:before="200" w:after="100" w:line="240" w:lineRule="auto"/>
        <w:rPr>
          <w:sz w:val="22"/>
        </w:rPr>
      </w:pPr>
      <w:r w:rsidRPr="006F62EF">
        <w:rPr>
          <w:b/>
          <w:color w:val="1A1A1A"/>
          <w:sz w:val="22"/>
        </w:rPr>
        <w:t>RESUMO</w:t>
      </w:r>
    </w:p>
    <w:p w:rsidR="000B5910" w:rsidRPr="006F62EF" w:rsidRDefault="00057F5C" w:rsidP="006F62EF">
      <w:pPr>
        <w:spacing w:after="80" w:line="240" w:lineRule="auto"/>
        <w:jc w:val="both"/>
        <w:rPr>
          <w:sz w:val="22"/>
        </w:rPr>
      </w:pPr>
      <w:r w:rsidRPr="006F62EF">
        <w:rPr>
          <w:b/>
          <w:color w:val="1A1A1A"/>
          <w:sz w:val="22"/>
        </w:rPr>
        <w:t>Introdução:</w:t>
      </w:r>
      <w:r w:rsidRPr="006F62EF">
        <w:rPr>
          <w:color w:val="1A1A1A"/>
          <w:sz w:val="22"/>
        </w:rPr>
        <w:t xml:space="preserve"> A pressão social e interpessoal para redução de peso pode influenciar decisões relacionadas ao uso de terapias farmacológicas para perda de peso, incluindo agonistas do receptor de GLP-1 (AR GLP-1). Entretanto, o papel dessas pressões na busca por esses medicamentos, assim como suas principais fontes, ainda não está bem estabelecido. </w:t>
      </w:r>
      <w:r w:rsidRPr="006F62EF">
        <w:rPr>
          <w:b/>
          <w:color w:val="1A1A1A"/>
          <w:sz w:val="22"/>
        </w:rPr>
        <w:t xml:space="preserve">Objetivo: </w:t>
      </w:r>
      <w:r w:rsidRPr="006F62EF">
        <w:rPr>
          <w:color w:val="1A1A1A"/>
          <w:sz w:val="22"/>
        </w:rPr>
        <w:t xml:space="preserve">Determinar a prevalência de pressão para perda de peso entre usuários de AR GLP-1, bem como identificar a principal fonte dessa pressão. </w:t>
      </w:r>
      <w:r w:rsidRPr="006F62EF">
        <w:rPr>
          <w:b/>
          <w:color w:val="1A1A1A"/>
          <w:sz w:val="22"/>
        </w:rPr>
        <w:t xml:space="preserve">Métodos: </w:t>
      </w:r>
      <w:r w:rsidRPr="006F62EF">
        <w:rPr>
          <w:color w:val="1A1A1A"/>
          <w:sz w:val="22"/>
        </w:rPr>
        <w:t>Estudo transversal incluindo indivíduos com idade ≥18 anos, residentes no Brasil, que relataram uso atual ou prévio de AR GLP-1 para perda de peso. Os dados foram coletados por meio de um questionário online disseminado em redes sociais, com informações autorrelatadas pelos participantes. O desfecho foi a prevalência de percepção de pressão para perda de peso. Adicionalmente, foram analisadas as principais fontes dessa pressão, com estimativas estratificadas de acordo com a presença de obesidade e comparadas por meio do teste do qui-quadrado.</w:t>
      </w:r>
      <w:r w:rsidRPr="006F62EF">
        <w:rPr>
          <w:b/>
          <w:color w:val="1A1A1A"/>
          <w:sz w:val="22"/>
        </w:rPr>
        <w:t xml:space="preserve"> Resultados:</w:t>
      </w:r>
      <w:r w:rsidRPr="006F62EF">
        <w:rPr>
          <w:color w:val="1A1A1A"/>
          <w:sz w:val="22"/>
        </w:rPr>
        <w:t xml:space="preserve"> Foram incluídos 860 participantes, com idade média de 39,5±10,6 anos, dos quais 82% eram do sexo feminino e 47,1% apresentavam obesidade. A maioria dos participantes (n=771) relatou sentir pressão para emagrecer, correspondendo a uma prevalência de 89,7% (IC 95%: 87,7%–91,7%), maior entre indivíduos com obesidade em comparação aos sem obesidade (91,9% vs. 87,7%; p=0,046). A família foi a fonte de pressão mais frequentemente mencionada (37,4%), seguida pelas redes sociais (21,8%), profissionais da saúde (14,7%), parceiros íntimos (6,6%) e amigos (6,5%). Quando indivíduos com e sem obesidade foram comparados, a família foi relatada com maior frequência entre aqueles com obesidade (39,3% vs. 28,4%; p=0,003), enquanto as redes sociais foram mais frequentemente citadas entre aqueles sem obesidade (25,3% vs. 18,0%; p=0,014). </w:t>
      </w:r>
      <w:r w:rsidRPr="006F62EF">
        <w:rPr>
          <w:b/>
          <w:color w:val="1A1A1A"/>
          <w:sz w:val="22"/>
        </w:rPr>
        <w:t xml:space="preserve">Conclusão: </w:t>
      </w:r>
      <w:r w:rsidRPr="006F62EF">
        <w:rPr>
          <w:color w:val="1A1A1A"/>
          <w:sz w:val="22"/>
        </w:rPr>
        <w:t xml:space="preserve">Nossos achados demonstram uma alta prevalência de pressão para perda de peso entre usuários de AR GLP-1, com cerca de nove em cada dez participantes relatando essa experiência. </w:t>
      </w:r>
      <w:proofErr w:type="gramStart"/>
      <w:r w:rsidRPr="006F62EF">
        <w:rPr>
          <w:color w:val="1A1A1A"/>
          <w:sz w:val="22"/>
        </w:rPr>
        <w:t>A</w:t>
      </w:r>
      <w:proofErr w:type="gramEnd"/>
      <w:r w:rsidRPr="006F62EF">
        <w:rPr>
          <w:color w:val="1A1A1A"/>
          <w:sz w:val="22"/>
        </w:rPr>
        <w:t xml:space="preserve"> análise estratificada indicou que, embora a família tenha sido a principal fonte de pressão entre indivíduos com obesidade, as redes sociais foram particularmente relevantes entre aqueles sem obesidade, sugerindo que as plataformas digitais podem ser um fator importante na busca por terapias farmacológicas para perda de peso nessa população, ao contribuírem para a percepção de pressão para redução do peso. </w:t>
      </w:r>
    </w:p>
    <w:p w:rsidR="000B5910" w:rsidRDefault="000B5910" w:rsidP="006F62EF">
      <w:pPr>
        <w:pBdr>
          <w:bottom w:val="single" w:sz="4" w:space="2" w:color="808080"/>
        </w:pBdr>
        <w:spacing w:before="120" w:after="40" w:line="240" w:lineRule="auto"/>
      </w:pPr>
    </w:p>
    <w:p w:rsidR="000B5910" w:rsidRDefault="00057F5C" w:rsidP="006F62EF">
      <w:pPr>
        <w:spacing w:after="0" w:line="240" w:lineRule="auto"/>
      </w:pPr>
      <w:r>
        <w:rPr>
          <w:color w:val="595959"/>
          <w:sz w:val="13"/>
          <w:vertAlign w:val="superscript"/>
        </w:rPr>
        <w:t>1</w:t>
      </w:r>
      <w:r>
        <w:rPr>
          <w:color w:val="595959"/>
          <w:sz w:val="16"/>
        </w:rPr>
        <w:t xml:space="preserve"> Pontifícia Universidade Católica do Rio Grande do Sul</w:t>
      </w:r>
    </w:p>
    <w:p w:rsidR="000B5910" w:rsidRDefault="000B5910">
      <w:pPr>
        <w:sectPr w:rsidR="000B5910">
          <w:headerReference w:type="default" r:id="rId303"/>
          <w:footerReference w:type="default" r:id="rId30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ÁLCOOL E CIRURGIA BARIÁTRICA: AVALIAÇÃO DO CONHECIMENTO, ACONSELHAMENTO PRÉ-OPERATÓRIO E RISCO DE USO NOCIVO</w:t>
      </w:r>
    </w:p>
    <w:p w:rsidR="000B5910" w:rsidRPr="006F62EF" w:rsidRDefault="00057F5C">
      <w:pPr>
        <w:spacing w:after="40" w:line="252" w:lineRule="auto"/>
        <w:jc w:val="right"/>
        <w:rPr>
          <w:szCs w:val="21"/>
        </w:rPr>
      </w:pPr>
      <w:r w:rsidRPr="006F62EF">
        <w:rPr>
          <w:color w:val="1A1A1A"/>
          <w:szCs w:val="21"/>
        </w:rPr>
        <w:t>Maria Carolina Wensing Herdt</w:t>
      </w:r>
      <w:r w:rsidRPr="006F62EF">
        <w:rPr>
          <w:color w:val="1A1A1A"/>
          <w:szCs w:val="21"/>
          <w:vertAlign w:val="superscript"/>
        </w:rPr>
        <w:t>1</w:t>
      </w:r>
      <w:r w:rsidRPr="006F62EF">
        <w:rPr>
          <w:szCs w:val="21"/>
        </w:rPr>
        <w:br/>
      </w:r>
      <w:r w:rsidRPr="006F62EF">
        <w:rPr>
          <w:color w:val="1A1A1A"/>
          <w:szCs w:val="21"/>
        </w:rPr>
        <w:t>Carolina Garcia Soares Leães Rech</w:t>
      </w:r>
      <w:r w:rsidRPr="006F62EF">
        <w:rPr>
          <w:color w:val="1A1A1A"/>
          <w:szCs w:val="21"/>
          <w:vertAlign w:val="superscript"/>
        </w:rPr>
        <w:t>1</w:t>
      </w:r>
      <w:r w:rsidRPr="006F62EF">
        <w:rPr>
          <w:szCs w:val="21"/>
        </w:rPr>
        <w:br/>
      </w:r>
      <w:r w:rsidRPr="006F62EF">
        <w:rPr>
          <w:color w:val="1A1A1A"/>
          <w:szCs w:val="21"/>
        </w:rPr>
        <w:t>Julia Fernanda Pereira Lima</w:t>
      </w:r>
      <w:r w:rsidRPr="006F62EF">
        <w:rPr>
          <w:color w:val="1A1A1A"/>
          <w:szCs w:val="21"/>
          <w:vertAlign w:val="superscript"/>
        </w:rPr>
        <w:t>1</w:t>
      </w:r>
      <w:r w:rsidRPr="006F62EF">
        <w:rPr>
          <w:szCs w:val="21"/>
        </w:rPr>
        <w:br/>
      </w:r>
      <w:r w:rsidRPr="006F62EF">
        <w:rPr>
          <w:color w:val="1A1A1A"/>
          <w:szCs w:val="21"/>
        </w:rPr>
        <w:t>Vinicius Silva Tarrago Carvalho</w:t>
      </w:r>
      <w:r w:rsidRPr="006F62EF">
        <w:rPr>
          <w:color w:val="1A1A1A"/>
          <w:szCs w:val="21"/>
          <w:vertAlign w:val="superscript"/>
        </w:rPr>
        <w:t>1</w:t>
      </w:r>
    </w:p>
    <w:p w:rsidR="000B5910" w:rsidRDefault="00057F5C">
      <w:pPr>
        <w:spacing w:before="240" w:after="100"/>
      </w:pPr>
      <w:r>
        <w:rPr>
          <w:b/>
          <w:color w:val="1A1A1A"/>
          <w:sz w:val="22"/>
        </w:rPr>
        <w:t>RESUMO</w:t>
      </w:r>
    </w:p>
    <w:p w:rsidR="000B5910" w:rsidRPr="006F62EF" w:rsidRDefault="00057F5C">
      <w:pPr>
        <w:spacing w:after="80"/>
        <w:jc w:val="both"/>
        <w:rPr>
          <w:sz w:val="22"/>
        </w:rPr>
      </w:pPr>
      <w:r w:rsidRPr="006F62EF">
        <w:rPr>
          <w:b/>
          <w:color w:val="1A1A1A"/>
          <w:sz w:val="22"/>
        </w:rPr>
        <w:t>Introdução:</w:t>
      </w:r>
      <w:r w:rsidRPr="006F62EF">
        <w:rPr>
          <w:color w:val="1A1A1A"/>
          <w:sz w:val="22"/>
        </w:rPr>
        <w:t xml:space="preserve"> A cirurgia bariátrica é uma intervenção eficaz para o tratamento da obesidade grave. Alterações fisiológicas decorrentes do procedimento, como absorção mais rápida e maior pico sanguíneo de álcool, podem aumentar a sensibilidade aos seus efeitos e o risco de padrões problemáticos de consumo no período pós-operatório. Além disso, fatores psicossociais, incluindo sintomas de ansiedade e depressão, podem influenciar comportamentos relacionados ao uso de álcool. </w:t>
      </w:r>
      <w:r w:rsidRPr="006F62EF">
        <w:rPr>
          <w:b/>
          <w:color w:val="1A1A1A"/>
          <w:sz w:val="22"/>
        </w:rPr>
        <w:t xml:space="preserve">Objetivo: </w:t>
      </w:r>
      <w:r w:rsidRPr="006F62EF">
        <w:rPr>
          <w:color w:val="1A1A1A"/>
          <w:sz w:val="22"/>
        </w:rPr>
        <w:t xml:space="preserve">Este estudo teve como objetivo avaliar padrões de consumo de álcool em pacientes submetidos à cirurgia bariátrica e explorar sua associação com sintomas emocionais. </w:t>
      </w:r>
      <w:r w:rsidRPr="006F62EF">
        <w:rPr>
          <w:b/>
          <w:color w:val="1A1A1A"/>
          <w:sz w:val="22"/>
        </w:rPr>
        <w:t>Métodos:</w:t>
      </w:r>
      <w:r w:rsidRPr="006F62EF">
        <w:rPr>
          <w:color w:val="1A1A1A"/>
          <w:sz w:val="22"/>
        </w:rPr>
        <w:t xml:space="preserve"> Trata-se de análise exploratória preliminar de um estudo transversal em andamento com pacientes em acompanhamento após cirurgia bariátrica, cujo cálculo amostral estimado é de 118 participantes. Foram coletados dados sociodemográficos e clínicos, além de informações sobre consumo de álcool por questionário estruturado. O padrão de consumo foi avaliado pelo Alcohol Use Disorders Identification Test (AUDIT) e os sintomas emocionais pelo Patient Health Questionnaire-4 (PHQ-4). As variáveis foram descritas por frequências absolutas e relativas, médias e desvios-padrão ou mediana e intervalo interquartil. Associações entre variáveis categóricas foram avaliadas pelo teste exato de Fisher e a correlação entre os escores do AUDIT e PHQ-4 foi analisada pelo coeficiente de Spearman, adotando-se nível de significância de 5%. </w:t>
      </w:r>
      <w:r w:rsidRPr="006F62EF">
        <w:rPr>
          <w:b/>
          <w:color w:val="1A1A1A"/>
          <w:sz w:val="22"/>
        </w:rPr>
        <w:t>Resultados:</w:t>
      </w:r>
      <w:r w:rsidRPr="006F62EF">
        <w:rPr>
          <w:color w:val="1A1A1A"/>
          <w:sz w:val="22"/>
        </w:rPr>
        <w:t xml:space="preserve"> Foram incluídos 22 participantes, com média de idade de 43,1 ± 9,0 anos, sendo 77,3% do sexo feminino. Metade havia sido submetida a bypass gástrico e metade à gastrectomia vertical. A maioria relatou ter recebido orientação pré-operatória sobre os riscos do consumo de álcool (90,9%) e referiu conhecimento adequado sobre esses riscos (86,4%). Após a cirurgia, 31,8% relataram aumento da sensibilidade aos efeitos do álcool. O escore mediano do PHQ-4 foi 1,5 (IIQ 0–3), com 36,4% apresentando escores sugestivos de sintomas emocionais relevantes. Observou-se correlação positiva moderada entre os escores do AUDIT e PHQ-4 (? = 0,49; p = 0,021). </w:t>
      </w:r>
      <w:r w:rsidRPr="006F62EF">
        <w:rPr>
          <w:b/>
          <w:color w:val="1A1A1A"/>
          <w:sz w:val="22"/>
        </w:rPr>
        <w:t>Conclusão:</w:t>
      </w:r>
      <w:r w:rsidRPr="006F62EF">
        <w:rPr>
          <w:color w:val="1A1A1A"/>
          <w:sz w:val="22"/>
        </w:rPr>
        <w:t xml:space="preserve"> Nesta análise exploratória, maior escore de consumo de álcool associou-se a maior carga de sintomas emocionais em pacientes submetidos à cirurgia bariátrica. Esses achados reforçam </w:t>
      </w:r>
      <w:proofErr w:type="gramStart"/>
      <w:r w:rsidRPr="006F62EF">
        <w:rPr>
          <w:color w:val="1A1A1A"/>
          <w:sz w:val="22"/>
        </w:rPr>
        <w:t>a</w:t>
      </w:r>
      <w:proofErr w:type="gramEnd"/>
      <w:r w:rsidRPr="006F62EF">
        <w:rPr>
          <w:color w:val="1A1A1A"/>
          <w:sz w:val="22"/>
        </w:rPr>
        <w:t xml:space="preserve"> importância da avaliação psicossocial e do rastreamento de comportamentos relacionados ao consumo de álcool no acompanhamento pós-operatório dessa população.</w:t>
      </w:r>
    </w:p>
    <w:p w:rsidR="000B5910" w:rsidRDefault="000B5910">
      <w:pPr>
        <w:pBdr>
          <w:bottom w:val="single" w:sz="4" w:space="2" w:color="808080"/>
        </w:pBdr>
        <w:spacing w:before="16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Santa Casa de Misericórdia de Porto Alegre</w:t>
      </w:r>
    </w:p>
    <w:p w:rsidR="000B5910" w:rsidRDefault="000B5910">
      <w:pPr>
        <w:sectPr w:rsidR="000B5910">
          <w:headerReference w:type="default" r:id="rId305"/>
          <w:footerReference w:type="default" r:id="rId306"/>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INTERVENÇÃO NUTRICIONAL COM AZEITE DE OLIVA EXTRAVIRGEM REDUZ NEUROINFLAMAÇÃO E FENÓTIPO DEPRESSIVO EM MODELO DE OBESIDADE EXPERIMENTAL</w:t>
      </w:r>
    </w:p>
    <w:p w:rsidR="000B5910" w:rsidRPr="006F62EF" w:rsidRDefault="00057F5C">
      <w:pPr>
        <w:spacing w:after="40" w:line="252" w:lineRule="auto"/>
        <w:jc w:val="right"/>
        <w:rPr>
          <w:szCs w:val="21"/>
        </w:rPr>
      </w:pPr>
      <w:r w:rsidRPr="006F62EF">
        <w:rPr>
          <w:color w:val="1A1A1A"/>
          <w:szCs w:val="21"/>
        </w:rPr>
        <w:t>Denise Entrudo Pinto</w:t>
      </w:r>
      <w:r w:rsidRPr="006F62EF">
        <w:rPr>
          <w:color w:val="1A1A1A"/>
          <w:szCs w:val="21"/>
          <w:vertAlign w:val="superscript"/>
        </w:rPr>
        <w:t>1</w:t>
      </w:r>
      <w:r w:rsidRPr="006F62EF">
        <w:rPr>
          <w:szCs w:val="21"/>
        </w:rPr>
        <w:br/>
      </w:r>
      <w:r w:rsidRPr="006F62EF">
        <w:rPr>
          <w:color w:val="1A1A1A"/>
          <w:szCs w:val="21"/>
        </w:rPr>
        <w:t>Ariadni Mesquita Peres</w:t>
      </w:r>
      <w:r w:rsidRPr="006F62EF">
        <w:rPr>
          <w:color w:val="1A1A1A"/>
          <w:szCs w:val="21"/>
          <w:vertAlign w:val="superscript"/>
        </w:rPr>
        <w:t>1</w:t>
      </w:r>
      <w:r w:rsidRPr="006F62EF">
        <w:rPr>
          <w:szCs w:val="21"/>
        </w:rPr>
        <w:br/>
      </w:r>
      <w:r w:rsidRPr="006F62EF">
        <w:rPr>
          <w:color w:val="1A1A1A"/>
          <w:szCs w:val="21"/>
        </w:rPr>
        <w:t>Ricardo Maia Dantas</w:t>
      </w:r>
      <w:r w:rsidRPr="006F62EF">
        <w:rPr>
          <w:color w:val="1A1A1A"/>
          <w:szCs w:val="21"/>
          <w:vertAlign w:val="superscript"/>
        </w:rPr>
        <w:t>1</w:t>
      </w:r>
      <w:r w:rsidRPr="006F62EF">
        <w:rPr>
          <w:szCs w:val="21"/>
        </w:rPr>
        <w:br/>
      </w:r>
      <w:r w:rsidRPr="006F62EF">
        <w:rPr>
          <w:color w:val="1A1A1A"/>
          <w:szCs w:val="21"/>
        </w:rPr>
        <w:t>Aline Cândida Ferreira</w:t>
      </w:r>
      <w:r w:rsidRPr="006F62EF">
        <w:rPr>
          <w:color w:val="1A1A1A"/>
          <w:szCs w:val="21"/>
          <w:vertAlign w:val="superscript"/>
        </w:rPr>
        <w:t>1</w:t>
      </w:r>
      <w:r w:rsidRPr="006F62EF">
        <w:rPr>
          <w:szCs w:val="21"/>
        </w:rPr>
        <w:br/>
      </w:r>
      <w:r w:rsidRPr="006F62EF">
        <w:rPr>
          <w:color w:val="1A1A1A"/>
          <w:szCs w:val="21"/>
        </w:rPr>
        <w:t>Giovana Barbosa Raphaelli</w:t>
      </w:r>
      <w:r w:rsidRPr="006F62EF">
        <w:rPr>
          <w:color w:val="1A1A1A"/>
          <w:szCs w:val="21"/>
          <w:vertAlign w:val="superscript"/>
        </w:rPr>
        <w:t>1</w:t>
      </w:r>
      <w:r w:rsidRPr="006F62EF">
        <w:rPr>
          <w:szCs w:val="21"/>
        </w:rPr>
        <w:br/>
      </w:r>
      <w:r w:rsidRPr="006F62EF">
        <w:rPr>
          <w:color w:val="1A1A1A"/>
          <w:szCs w:val="21"/>
        </w:rPr>
        <w:t>Letícia Cunha Pereira de Souza</w:t>
      </w:r>
      <w:r w:rsidRPr="006F62EF">
        <w:rPr>
          <w:color w:val="1A1A1A"/>
          <w:szCs w:val="21"/>
          <w:vertAlign w:val="superscript"/>
        </w:rPr>
        <w:t>1</w:t>
      </w:r>
      <w:r w:rsidRPr="006F62EF">
        <w:rPr>
          <w:szCs w:val="21"/>
        </w:rPr>
        <w:br/>
      </w:r>
      <w:r w:rsidRPr="006F62EF">
        <w:rPr>
          <w:color w:val="1A1A1A"/>
          <w:szCs w:val="21"/>
        </w:rPr>
        <w:t>Diorlon Nunes Machado</w:t>
      </w:r>
      <w:r w:rsidRPr="006F62EF">
        <w:rPr>
          <w:color w:val="1A1A1A"/>
          <w:szCs w:val="21"/>
          <w:vertAlign w:val="superscript"/>
        </w:rPr>
        <w:t>1</w:t>
      </w:r>
      <w:r w:rsidRPr="006F62EF">
        <w:rPr>
          <w:szCs w:val="21"/>
        </w:rPr>
        <w:br/>
      </w:r>
      <w:r w:rsidRPr="006F62EF">
        <w:rPr>
          <w:color w:val="1A1A1A"/>
          <w:szCs w:val="21"/>
        </w:rPr>
        <w:t>Carlos Alexandre Netto</w:t>
      </w:r>
      <w:r w:rsidRPr="006F62EF">
        <w:rPr>
          <w:color w:val="1A1A1A"/>
          <w:szCs w:val="21"/>
          <w:vertAlign w:val="superscript"/>
        </w:rPr>
        <w:t>2</w:t>
      </w:r>
      <w:r w:rsidRPr="006F62EF">
        <w:rPr>
          <w:szCs w:val="21"/>
        </w:rPr>
        <w:br/>
      </w:r>
      <w:r w:rsidRPr="006F62EF">
        <w:rPr>
          <w:color w:val="1A1A1A"/>
          <w:szCs w:val="21"/>
        </w:rPr>
        <w:t>Carla Dalmaz</w:t>
      </w:r>
      <w:r w:rsidRPr="006F62EF">
        <w:rPr>
          <w:color w:val="1A1A1A"/>
          <w:szCs w:val="21"/>
          <w:vertAlign w:val="superscript"/>
        </w:rPr>
        <w:t>2</w:t>
      </w:r>
      <w:r w:rsidRPr="006F62EF">
        <w:rPr>
          <w:szCs w:val="21"/>
        </w:rPr>
        <w:br/>
      </w:r>
      <w:r w:rsidRPr="006F62EF">
        <w:rPr>
          <w:color w:val="1A1A1A"/>
          <w:szCs w:val="21"/>
        </w:rPr>
        <w:t>Rachel Krolow Santos Silva Bast</w:t>
      </w:r>
      <w:r w:rsidRPr="006F62EF">
        <w:rPr>
          <w:color w:val="1A1A1A"/>
          <w:szCs w:val="21"/>
          <w:vertAlign w:val="superscript"/>
        </w:rPr>
        <w:t>2</w:t>
      </w:r>
    </w:p>
    <w:p w:rsidR="000B5910" w:rsidRPr="006F62EF" w:rsidRDefault="00057F5C">
      <w:pPr>
        <w:spacing w:before="200" w:after="100"/>
        <w:rPr>
          <w:sz w:val="22"/>
        </w:rPr>
      </w:pPr>
      <w:r w:rsidRPr="006F62EF">
        <w:rPr>
          <w:b/>
          <w:color w:val="1A1A1A"/>
          <w:sz w:val="22"/>
        </w:rPr>
        <w:t>RESUMO</w:t>
      </w:r>
    </w:p>
    <w:p w:rsidR="000B5910" w:rsidRPr="006F62EF" w:rsidRDefault="00057F5C" w:rsidP="006F62EF">
      <w:pPr>
        <w:spacing w:after="80" w:line="240" w:lineRule="auto"/>
        <w:jc w:val="both"/>
        <w:rPr>
          <w:sz w:val="22"/>
        </w:rPr>
      </w:pPr>
      <w:r w:rsidRPr="006F62EF">
        <w:rPr>
          <w:b/>
          <w:color w:val="1A1A1A"/>
          <w:sz w:val="22"/>
        </w:rPr>
        <w:t xml:space="preserve">Introdução: </w:t>
      </w:r>
      <w:r w:rsidRPr="006F62EF">
        <w:rPr>
          <w:color w:val="1A1A1A"/>
          <w:sz w:val="22"/>
        </w:rPr>
        <w:t xml:space="preserve">Obesidade e depressão são duas condições altamente prevalentes globalmente, em ambos os sexos. O consumo excessivo de dieta rica em gordura (DRG) induz inflamação em regiões encefálicas sensíveis a fatores dietéticos, como o hipocampo. Esse processo é parcialmente mediado por células gliais e pela ativação do receptor Toll-like 4 (TLR-4), resultando no aumento de citocinas pró-inflamatórias, como interleucina (IL)-1β, IL-6 e fator de necrose tumoral (TNF)-α. Diante disso, a suplementação com azeite de oliva extravirgem (AO) destaca-se por seu alto teor de compostos bioativos e propriedades anti-inflamatórias e neuroprotetoras. </w:t>
      </w:r>
      <w:r w:rsidRPr="006F62EF">
        <w:rPr>
          <w:b/>
          <w:color w:val="1A1A1A"/>
          <w:sz w:val="22"/>
        </w:rPr>
        <w:t>Objetivo:</w:t>
      </w:r>
      <w:r w:rsidRPr="006F62EF">
        <w:rPr>
          <w:color w:val="1A1A1A"/>
          <w:sz w:val="22"/>
        </w:rPr>
        <w:t xml:space="preserve"> Avaliar os efeitos da suplementação de AO em ratos expostos à DRG sobre </w:t>
      </w:r>
      <w:proofErr w:type="gramStart"/>
      <w:r w:rsidRPr="006F62EF">
        <w:rPr>
          <w:color w:val="1A1A1A"/>
          <w:sz w:val="22"/>
        </w:rPr>
        <w:t>a</w:t>
      </w:r>
      <w:proofErr w:type="gramEnd"/>
      <w:r w:rsidRPr="006F62EF">
        <w:rPr>
          <w:color w:val="1A1A1A"/>
          <w:sz w:val="22"/>
        </w:rPr>
        <w:t xml:space="preserve"> inflamação hipocampal e comportamento tipo depressivo.</w:t>
      </w:r>
      <w:r w:rsidRPr="006F62EF">
        <w:rPr>
          <w:b/>
          <w:color w:val="1A1A1A"/>
          <w:sz w:val="22"/>
        </w:rPr>
        <w:t xml:space="preserve"> Métodos:</w:t>
      </w:r>
      <w:r w:rsidRPr="006F62EF">
        <w:rPr>
          <w:color w:val="1A1A1A"/>
          <w:sz w:val="22"/>
        </w:rPr>
        <w:t xml:space="preserve"> Aos 21 dias, ratos Wistar machos e fêmeas (CEUA-UFRGS 41855) foram alocados em 4 grupos recebendo: (1) ração padrão (RP); (2) RP + AO; (3) DRG e (4) DRG + AO. O AO foi administrado por gavagem oral (1,3 mL/Kg/dia). O consumo e peso corporal foram monitorados semanalmente. O comportamento tipo depressivo foi avaliado pelo teste de nado forçado e pelo Splash. </w:t>
      </w:r>
      <w:proofErr w:type="gramStart"/>
      <w:r w:rsidRPr="006F62EF">
        <w:rPr>
          <w:color w:val="1A1A1A"/>
          <w:sz w:val="22"/>
        </w:rPr>
        <w:t>A</w:t>
      </w:r>
      <w:proofErr w:type="gramEnd"/>
      <w:r w:rsidRPr="006F62EF">
        <w:rPr>
          <w:color w:val="1A1A1A"/>
          <w:sz w:val="22"/>
        </w:rPr>
        <w:t xml:space="preserve"> imunorreatividade da molécula adaptadora de ligação ao cálcio ionizado 1 (IBA-1), proteína microglial, e do receptor TLR-4 foi analisada na região CA1 do hipocampo por imunofluorescência. Os níveis hipocampais de IL-6, IL-1β e TNF-α foram medidos por ELISA. </w:t>
      </w:r>
      <w:r w:rsidRPr="006F62EF">
        <w:rPr>
          <w:b/>
          <w:color w:val="1A1A1A"/>
          <w:sz w:val="22"/>
        </w:rPr>
        <w:t xml:space="preserve">Resultados: </w:t>
      </w:r>
      <w:r w:rsidRPr="006F62EF">
        <w:rPr>
          <w:color w:val="1A1A1A"/>
          <w:sz w:val="22"/>
        </w:rPr>
        <w:t xml:space="preserve">Machos com acesso à DRG apresentaram maior consumo e peso corporal (p=0,001), permaneceram mais tempo imóveis (p=0,024) no nado forçado, além de maior imunorreatividade de IBA-1 (p&lt;0,001) e TLR-4 (p=0,001) na região CA1 do hipocampo. A suplementação com AO foi capaz de prevenir o comportamento tipo depressivo nos ratos machos no teste </w:t>
      </w:r>
      <w:proofErr w:type="gramStart"/>
      <w:r w:rsidRPr="006F62EF">
        <w:rPr>
          <w:color w:val="1A1A1A"/>
          <w:sz w:val="22"/>
        </w:rPr>
        <w:t>do</w:t>
      </w:r>
      <w:proofErr w:type="gramEnd"/>
      <w:r w:rsidRPr="006F62EF">
        <w:rPr>
          <w:color w:val="1A1A1A"/>
          <w:sz w:val="22"/>
        </w:rPr>
        <w:t xml:space="preserve"> nado forçado (p=0,049), a imunorreatividade de IBA-1 (p=0,048) e TLR-4 (p=0,013). No Splash, animais DRG+AO realizaram mais comportamento de grooming (p=0,004 machos, p=0,001 fêmeas). Fêmeas DRG+AO apresentaram menor peso corporal (p=0,002) e menores níveis hipocampais de IL-6 (p=0,001), IL-1β (p=0,001) e TNF-α (p&lt;0,001). Além disso, a suplementação com AO foi capaz de reduzir os níveis de IL-6 em machos (p=0,003) e </w:t>
      </w:r>
      <w:proofErr w:type="gramStart"/>
      <w:r w:rsidRPr="006F62EF">
        <w:rPr>
          <w:color w:val="1A1A1A"/>
          <w:sz w:val="22"/>
        </w:rPr>
        <w:t>a</w:t>
      </w:r>
      <w:proofErr w:type="gramEnd"/>
      <w:r w:rsidRPr="006F62EF">
        <w:rPr>
          <w:color w:val="1A1A1A"/>
          <w:sz w:val="22"/>
        </w:rPr>
        <w:t xml:space="preserve"> imunorreatividade de IBA-1 nas fêmeas (p=0,050). </w:t>
      </w:r>
      <w:r w:rsidRPr="006F62EF">
        <w:rPr>
          <w:b/>
          <w:color w:val="1A1A1A"/>
          <w:sz w:val="22"/>
        </w:rPr>
        <w:t xml:space="preserve">Conclusão: </w:t>
      </w:r>
      <w:r w:rsidRPr="006F62EF">
        <w:rPr>
          <w:color w:val="1A1A1A"/>
          <w:sz w:val="22"/>
        </w:rPr>
        <w:t>Esses resultados fortalecem o crescente corpo de evidências que apoiam o uso de nutrientes como uma estratégia adjuvante no tratamento da obesidade e suas comorbidades, além de analisar diferenças sexo-específicas.</w:t>
      </w:r>
    </w:p>
    <w:p w:rsidR="000B5910" w:rsidRDefault="000B5910">
      <w:pPr>
        <w:pBdr>
          <w:bottom w:val="single" w:sz="4" w:space="2" w:color="808080"/>
        </w:pBdr>
        <w:spacing w:before="120" w:after="40"/>
      </w:pPr>
    </w:p>
    <w:p w:rsidR="000B5910" w:rsidRDefault="00057F5C">
      <w:pPr>
        <w:spacing w:after="0" w:line="252" w:lineRule="auto"/>
      </w:pPr>
      <w:r>
        <w:rPr>
          <w:color w:val="595959"/>
          <w:sz w:val="13"/>
          <w:vertAlign w:val="superscript"/>
        </w:rPr>
        <w:t>1</w:t>
      </w:r>
      <w:r>
        <w:rPr>
          <w:color w:val="595959"/>
          <w:sz w:val="16"/>
        </w:rPr>
        <w:t xml:space="preserve"> Universidade Federal do Rio Grande do Sul</w:t>
      </w:r>
    </w:p>
    <w:p w:rsidR="000B5910" w:rsidRDefault="00057F5C">
      <w:pPr>
        <w:spacing w:after="0" w:line="252" w:lineRule="auto"/>
      </w:pPr>
      <w:r>
        <w:rPr>
          <w:color w:val="595959"/>
          <w:sz w:val="13"/>
          <w:vertAlign w:val="superscript"/>
        </w:rPr>
        <w:t>2</w:t>
      </w:r>
      <w:r>
        <w:rPr>
          <w:color w:val="595959"/>
          <w:sz w:val="16"/>
        </w:rPr>
        <w:t xml:space="preserve"> Universidade Federal Do Rio Grande Do Sul</w:t>
      </w:r>
    </w:p>
    <w:p w:rsidR="000B5910" w:rsidRDefault="000B5910">
      <w:pPr>
        <w:sectPr w:rsidR="000B5910">
          <w:headerReference w:type="default" r:id="rId307"/>
          <w:footerReference w:type="default" r:id="rId308"/>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AÇÃO ANTIOXIDANTE DO AZEITE DE OLIVA EXTRAVIRGEM NO CÓRTEX PRÉ-FRONTAL E SEUS EFEITOS COGNITIVOS EM MODELO EXPERIMENTAL DE OBESIDADE</w:t>
      </w:r>
    </w:p>
    <w:p w:rsidR="000B5910" w:rsidRPr="006F62EF" w:rsidRDefault="00057F5C">
      <w:pPr>
        <w:spacing w:after="40" w:line="252" w:lineRule="auto"/>
        <w:jc w:val="right"/>
        <w:rPr>
          <w:szCs w:val="21"/>
        </w:rPr>
      </w:pPr>
      <w:r w:rsidRPr="006F62EF">
        <w:rPr>
          <w:color w:val="1A1A1A"/>
          <w:szCs w:val="21"/>
        </w:rPr>
        <w:t>Denise Entrudo Pinto</w:t>
      </w:r>
      <w:r w:rsidRPr="006F62EF">
        <w:rPr>
          <w:color w:val="1A1A1A"/>
          <w:szCs w:val="21"/>
          <w:vertAlign w:val="superscript"/>
        </w:rPr>
        <w:t>1</w:t>
      </w:r>
      <w:r w:rsidRPr="006F62EF">
        <w:rPr>
          <w:szCs w:val="21"/>
        </w:rPr>
        <w:br/>
      </w:r>
      <w:r w:rsidRPr="006F62EF">
        <w:rPr>
          <w:color w:val="1A1A1A"/>
          <w:szCs w:val="21"/>
        </w:rPr>
        <w:t>Ariadni Mesquita Peres</w:t>
      </w:r>
      <w:r w:rsidRPr="006F62EF">
        <w:rPr>
          <w:color w:val="1A1A1A"/>
          <w:szCs w:val="21"/>
          <w:vertAlign w:val="superscript"/>
        </w:rPr>
        <w:t>1</w:t>
      </w:r>
      <w:r w:rsidRPr="006F62EF">
        <w:rPr>
          <w:szCs w:val="21"/>
        </w:rPr>
        <w:br/>
      </w:r>
      <w:r w:rsidRPr="006F62EF">
        <w:rPr>
          <w:color w:val="1A1A1A"/>
          <w:szCs w:val="21"/>
        </w:rPr>
        <w:t>Giovana Barbosa Raphaelli</w:t>
      </w:r>
      <w:r w:rsidRPr="006F62EF">
        <w:rPr>
          <w:color w:val="1A1A1A"/>
          <w:szCs w:val="21"/>
          <w:vertAlign w:val="superscript"/>
        </w:rPr>
        <w:t>1</w:t>
      </w:r>
      <w:r w:rsidRPr="006F62EF">
        <w:rPr>
          <w:szCs w:val="21"/>
        </w:rPr>
        <w:br/>
      </w:r>
      <w:r w:rsidRPr="006F62EF">
        <w:rPr>
          <w:color w:val="1A1A1A"/>
          <w:szCs w:val="21"/>
        </w:rPr>
        <w:t>Ricardo Maia Dantas</w:t>
      </w:r>
      <w:r w:rsidRPr="006F62EF">
        <w:rPr>
          <w:color w:val="1A1A1A"/>
          <w:szCs w:val="21"/>
          <w:vertAlign w:val="superscript"/>
        </w:rPr>
        <w:t>1</w:t>
      </w:r>
      <w:r w:rsidRPr="006F62EF">
        <w:rPr>
          <w:szCs w:val="21"/>
        </w:rPr>
        <w:br/>
      </w:r>
      <w:r w:rsidRPr="006F62EF">
        <w:rPr>
          <w:color w:val="1A1A1A"/>
          <w:szCs w:val="21"/>
        </w:rPr>
        <w:t>Aline Cândida Ferreira</w:t>
      </w:r>
      <w:r w:rsidRPr="006F62EF">
        <w:rPr>
          <w:color w:val="1A1A1A"/>
          <w:szCs w:val="21"/>
          <w:vertAlign w:val="superscript"/>
        </w:rPr>
        <w:t>1</w:t>
      </w:r>
      <w:r w:rsidRPr="006F62EF">
        <w:rPr>
          <w:szCs w:val="21"/>
        </w:rPr>
        <w:br/>
      </w:r>
      <w:r w:rsidRPr="006F62EF">
        <w:rPr>
          <w:color w:val="1A1A1A"/>
          <w:szCs w:val="21"/>
        </w:rPr>
        <w:t>Ana Caroline Silva Silveira</w:t>
      </w:r>
      <w:r w:rsidRPr="006F62EF">
        <w:rPr>
          <w:color w:val="1A1A1A"/>
          <w:szCs w:val="21"/>
          <w:vertAlign w:val="superscript"/>
        </w:rPr>
        <w:t>1</w:t>
      </w:r>
      <w:r w:rsidRPr="006F62EF">
        <w:rPr>
          <w:szCs w:val="21"/>
        </w:rPr>
        <w:br/>
      </w:r>
      <w:r w:rsidRPr="006F62EF">
        <w:rPr>
          <w:color w:val="1A1A1A"/>
          <w:szCs w:val="21"/>
        </w:rPr>
        <w:t>Letícia Cunha Pereira de Souza</w:t>
      </w:r>
      <w:r w:rsidRPr="006F62EF">
        <w:rPr>
          <w:color w:val="1A1A1A"/>
          <w:szCs w:val="21"/>
          <w:vertAlign w:val="superscript"/>
        </w:rPr>
        <w:t>1</w:t>
      </w:r>
      <w:r w:rsidRPr="006F62EF">
        <w:rPr>
          <w:szCs w:val="21"/>
        </w:rPr>
        <w:br/>
      </w:r>
      <w:r w:rsidRPr="006F62EF">
        <w:rPr>
          <w:color w:val="1A1A1A"/>
          <w:szCs w:val="21"/>
        </w:rPr>
        <w:t>Carla Dalmaz</w:t>
      </w:r>
      <w:r w:rsidRPr="006F62EF">
        <w:rPr>
          <w:color w:val="1A1A1A"/>
          <w:szCs w:val="21"/>
          <w:vertAlign w:val="superscript"/>
        </w:rPr>
        <w:t>2</w:t>
      </w:r>
      <w:r w:rsidRPr="006F62EF">
        <w:rPr>
          <w:szCs w:val="21"/>
        </w:rPr>
        <w:br/>
      </w:r>
      <w:r w:rsidRPr="006F62EF">
        <w:rPr>
          <w:color w:val="1A1A1A"/>
          <w:szCs w:val="21"/>
        </w:rPr>
        <w:t>Rachel Krolow Santos Silva Bast</w:t>
      </w:r>
      <w:r w:rsidRPr="006F62EF">
        <w:rPr>
          <w:color w:val="1A1A1A"/>
          <w:szCs w:val="21"/>
          <w:vertAlign w:val="superscript"/>
        </w:rPr>
        <w:t>2</w:t>
      </w:r>
    </w:p>
    <w:p w:rsidR="000B5910" w:rsidRPr="006F62EF" w:rsidRDefault="00057F5C">
      <w:pPr>
        <w:spacing w:before="200" w:after="100"/>
        <w:rPr>
          <w:sz w:val="22"/>
        </w:rPr>
      </w:pPr>
      <w:r w:rsidRPr="006F62EF">
        <w:rPr>
          <w:b/>
          <w:color w:val="1A1A1A"/>
          <w:sz w:val="22"/>
        </w:rPr>
        <w:t>RESUMO</w:t>
      </w:r>
    </w:p>
    <w:p w:rsidR="000B5910" w:rsidRPr="006F62EF" w:rsidRDefault="00057F5C">
      <w:pPr>
        <w:spacing w:after="80" w:line="264" w:lineRule="auto"/>
        <w:jc w:val="both"/>
        <w:rPr>
          <w:sz w:val="22"/>
        </w:rPr>
      </w:pPr>
      <w:r w:rsidRPr="006F62EF">
        <w:rPr>
          <w:b/>
          <w:color w:val="1A1A1A"/>
          <w:sz w:val="22"/>
        </w:rPr>
        <w:t>Introdução:</w:t>
      </w:r>
      <w:r w:rsidRPr="006F62EF">
        <w:rPr>
          <w:color w:val="1A1A1A"/>
          <w:sz w:val="22"/>
        </w:rPr>
        <w:t xml:space="preserve"> A exposição à dietas ricas em gordura (DRG) pode afetar negativamente a função cerebral, aumentando o estresse oxidativo e </w:t>
      </w:r>
      <w:proofErr w:type="gramStart"/>
      <w:r w:rsidRPr="006F62EF">
        <w:rPr>
          <w:color w:val="1A1A1A"/>
          <w:sz w:val="22"/>
        </w:rPr>
        <w:t>a</w:t>
      </w:r>
      <w:proofErr w:type="gramEnd"/>
      <w:r w:rsidRPr="006F62EF">
        <w:rPr>
          <w:color w:val="1A1A1A"/>
          <w:sz w:val="22"/>
        </w:rPr>
        <w:t xml:space="preserve"> inflamação, podendo desencadear prejuízos na plasticidade sináptica e na memória. Em roedores, o córtex pré-frontal (CPF) é particularmente vulnerável </w:t>
      </w:r>
      <w:proofErr w:type="gramStart"/>
      <w:r w:rsidRPr="006F62EF">
        <w:rPr>
          <w:color w:val="1A1A1A"/>
          <w:sz w:val="22"/>
        </w:rPr>
        <w:t>a</w:t>
      </w:r>
      <w:proofErr w:type="gramEnd"/>
      <w:r w:rsidRPr="006F62EF">
        <w:rPr>
          <w:color w:val="1A1A1A"/>
          <w:sz w:val="22"/>
        </w:rPr>
        <w:t xml:space="preserve"> esses efeitos. Nesse contexto, o uso de uma suplementação com azeite de oliva (AO) extravirgem, conhecido por suas propriedades antioxidantes e neuroprotetoras, pode representar uma potencial estratégia para atenuar danos induzidos pela DRG nessa região encefálica</w:t>
      </w:r>
      <w:r w:rsidRPr="006F62EF">
        <w:rPr>
          <w:b/>
          <w:color w:val="1A1A1A"/>
          <w:sz w:val="22"/>
        </w:rPr>
        <w:t xml:space="preserve">. Objetivo: </w:t>
      </w:r>
      <w:r w:rsidRPr="006F62EF">
        <w:rPr>
          <w:color w:val="1A1A1A"/>
          <w:sz w:val="22"/>
        </w:rPr>
        <w:t>Este estudo objetiva avaliar o impacto da suplementação com AO na memória de curto prazo e na resposta antioxidante no CPF de ratos adultos expostos a DRG.</w:t>
      </w:r>
      <w:r w:rsidRPr="006F62EF">
        <w:rPr>
          <w:b/>
          <w:color w:val="1A1A1A"/>
          <w:sz w:val="22"/>
        </w:rPr>
        <w:t xml:space="preserve"> Métodos:</w:t>
      </w:r>
      <w:r w:rsidRPr="006F62EF">
        <w:rPr>
          <w:color w:val="1A1A1A"/>
          <w:sz w:val="22"/>
        </w:rPr>
        <w:t xml:space="preserve"> No 21º dia pós-natal, ratos Wistar machos e fêmeas (CEUA-UFRGS 41855) foram alocados em quatro grupos, recebendo: (1) ração padrão (RP), (2) RP+AO, (3) DRG e (4) DRG+AO. O AO foi administrado por gavagem oral (1,3 mL/kg/dia de peso corporal</w:t>
      </w:r>
      <w:proofErr w:type="gramStart"/>
      <w:r w:rsidRPr="006F62EF">
        <w:rPr>
          <w:color w:val="1A1A1A"/>
          <w:sz w:val="22"/>
        </w:rPr>
        <w:t>) ,</w:t>
      </w:r>
      <w:proofErr w:type="gramEnd"/>
      <w:r w:rsidRPr="006F62EF">
        <w:rPr>
          <w:color w:val="1A1A1A"/>
          <w:sz w:val="22"/>
        </w:rPr>
        <w:t xml:space="preserve"> demais grupos receberam gavagem com água filtrada. ingestão </w:t>
      </w:r>
      <w:proofErr w:type="gramStart"/>
      <w:r w:rsidRPr="006F62EF">
        <w:rPr>
          <w:color w:val="1A1A1A"/>
          <w:sz w:val="22"/>
        </w:rPr>
        <w:t>calórica,peso</w:t>
      </w:r>
      <w:proofErr w:type="gramEnd"/>
      <w:r w:rsidRPr="006F62EF">
        <w:rPr>
          <w:color w:val="1A1A1A"/>
          <w:sz w:val="22"/>
        </w:rPr>
        <w:t xml:space="preserve"> corporal e índice de massa corporal (IMC) foram monitorados semanalmente. A memória de curto prazo foi avaliada através do teste de reconhecimento de objetos (RO), realizado em dois dias consecutivos. O tempo total de exploração foi registrado e o índice de discriminação (%) foi calculado como: (tempo explorando o novo objeto/tempo total explorando ambos os objetos) × 100. No CPF, as atividades das enzimas antioxidantes glutationa peroxidase (GPx), catalase (CAT) e superóxido dismutase (SOD), além dos níveis de espécies reativas de oxigênio (ROS), foram quantificados.</w:t>
      </w:r>
      <w:r w:rsidRPr="006F62EF">
        <w:rPr>
          <w:b/>
          <w:color w:val="1A1A1A"/>
          <w:sz w:val="22"/>
        </w:rPr>
        <w:t xml:space="preserve"> Resultados:</w:t>
      </w:r>
      <w:r w:rsidRPr="006F62EF">
        <w:rPr>
          <w:color w:val="1A1A1A"/>
          <w:sz w:val="22"/>
        </w:rPr>
        <w:t xml:space="preserve"> O consumo calórico dos animais aumentou ao longo do tempo (p&lt;0,0001). Os animais alimentados com DRG apresentaram maior ganho de peso (p=0,038 para machos, p&lt;0,0001 para fêmeas) e IMC (p=0,017 para machos, p=0,023 para fêmeas). No teste de RO, os machos do grupo DRG+AO demonstraram melhor discriminação de objetos (p=0,044). Fêmeas obesas apresentaram menor atividade de SOD (p&lt;0,001), CAT (p=0,011) e menor produção de EROs (p&lt;0,001). A suplementação AO em fêmeas alimentadas com DRG aumentou a SOD (p&lt;0,001) e a GPx (p=0,030), e diminuiu a produção de ROS (p=0,025). </w:t>
      </w:r>
      <w:proofErr w:type="gramStart"/>
      <w:r w:rsidRPr="006F62EF">
        <w:rPr>
          <w:color w:val="1A1A1A"/>
          <w:sz w:val="22"/>
        </w:rPr>
        <w:t>A</w:t>
      </w:r>
      <w:proofErr w:type="gramEnd"/>
      <w:r w:rsidRPr="006F62EF">
        <w:rPr>
          <w:color w:val="1A1A1A"/>
          <w:sz w:val="22"/>
        </w:rPr>
        <w:t xml:space="preserve"> atividade de GPx foi maior em machos suplementados com AO (p=0,049). Conclusão: A suplementação com AO demonstrou um potencial efeito antioxidante no CPF de animais alimentados com DRG, além de atenuar as alterações que afetam a memória dos animais. </w:t>
      </w:r>
    </w:p>
    <w:p w:rsidR="000B5910" w:rsidRDefault="000B5910">
      <w:pPr>
        <w:pBdr>
          <w:bottom w:val="single" w:sz="4" w:space="2" w:color="808080"/>
        </w:pBdr>
        <w:spacing w:before="12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Universidade Federal do Rio Grande do Sul</w:t>
      </w:r>
    </w:p>
    <w:p w:rsidR="000B5910" w:rsidRPr="006F62EF" w:rsidRDefault="00057F5C">
      <w:pPr>
        <w:spacing w:after="0" w:line="252" w:lineRule="auto"/>
        <w:rPr>
          <w:sz w:val="16"/>
          <w:szCs w:val="16"/>
        </w:rPr>
      </w:pPr>
      <w:r w:rsidRPr="006F62EF">
        <w:rPr>
          <w:color w:val="595959"/>
          <w:sz w:val="16"/>
          <w:szCs w:val="16"/>
          <w:vertAlign w:val="superscript"/>
        </w:rPr>
        <w:t>2</w:t>
      </w:r>
      <w:r w:rsidRPr="006F62EF">
        <w:rPr>
          <w:color w:val="595959"/>
          <w:sz w:val="16"/>
          <w:szCs w:val="16"/>
        </w:rPr>
        <w:t xml:space="preserve"> Universidade Federal Do Rio Grande Do Sul</w:t>
      </w:r>
    </w:p>
    <w:p w:rsidR="000B5910" w:rsidRDefault="000B5910">
      <w:pPr>
        <w:sectPr w:rsidR="000B5910">
          <w:headerReference w:type="default" r:id="rId309"/>
          <w:footerReference w:type="default" r:id="rId31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OBESIDADE NO BRASIL (2012–2025): O AVANÇO DAS INTERNAÇÕES E A SOBRECARGA DO SISTEMA DE SAÚDE</w:t>
      </w:r>
    </w:p>
    <w:p w:rsidR="000B5910" w:rsidRPr="006F62EF" w:rsidRDefault="00057F5C">
      <w:pPr>
        <w:spacing w:after="40" w:line="252" w:lineRule="auto"/>
        <w:jc w:val="right"/>
        <w:rPr>
          <w:szCs w:val="21"/>
        </w:rPr>
      </w:pPr>
      <w:r w:rsidRPr="006F62EF">
        <w:rPr>
          <w:color w:val="1A1A1A"/>
          <w:szCs w:val="21"/>
        </w:rPr>
        <w:t>Andressa Brenneisen</w:t>
      </w:r>
      <w:r w:rsidRPr="006F62EF">
        <w:rPr>
          <w:color w:val="1A1A1A"/>
          <w:szCs w:val="21"/>
          <w:vertAlign w:val="superscript"/>
        </w:rPr>
        <w:t>1</w:t>
      </w:r>
      <w:r w:rsidRPr="006F62EF">
        <w:rPr>
          <w:szCs w:val="21"/>
        </w:rPr>
        <w:br/>
      </w:r>
      <w:r w:rsidRPr="006F62EF">
        <w:rPr>
          <w:color w:val="1A1A1A"/>
          <w:szCs w:val="21"/>
        </w:rPr>
        <w:t>Renata Barth Almeida</w:t>
      </w:r>
      <w:r w:rsidRPr="006F62EF">
        <w:rPr>
          <w:color w:val="1A1A1A"/>
          <w:szCs w:val="21"/>
          <w:vertAlign w:val="superscript"/>
        </w:rPr>
        <w:t>1</w:t>
      </w:r>
      <w:r w:rsidRPr="006F62EF">
        <w:rPr>
          <w:szCs w:val="21"/>
        </w:rPr>
        <w:br/>
      </w:r>
      <w:r w:rsidRPr="006F62EF">
        <w:rPr>
          <w:color w:val="1A1A1A"/>
          <w:szCs w:val="21"/>
        </w:rPr>
        <w:t>Júlia Herrera Simm</w:t>
      </w:r>
      <w:r w:rsidRPr="006F62EF">
        <w:rPr>
          <w:color w:val="1A1A1A"/>
          <w:szCs w:val="21"/>
          <w:vertAlign w:val="superscript"/>
        </w:rPr>
        <w:t>1</w:t>
      </w:r>
      <w:r w:rsidRPr="006F62EF">
        <w:rPr>
          <w:szCs w:val="21"/>
        </w:rPr>
        <w:br/>
      </w:r>
      <w:r w:rsidRPr="006F62EF">
        <w:rPr>
          <w:color w:val="1A1A1A"/>
          <w:szCs w:val="21"/>
        </w:rPr>
        <w:t>Maria Eduarda Montibeller</w:t>
      </w:r>
      <w:r w:rsidRPr="006F62EF">
        <w:rPr>
          <w:color w:val="1A1A1A"/>
          <w:szCs w:val="21"/>
          <w:vertAlign w:val="superscript"/>
        </w:rPr>
        <w:t>1</w:t>
      </w:r>
      <w:r w:rsidRPr="006F62EF">
        <w:rPr>
          <w:szCs w:val="21"/>
        </w:rPr>
        <w:br/>
      </w:r>
      <w:r w:rsidRPr="006F62EF">
        <w:rPr>
          <w:color w:val="1A1A1A"/>
          <w:szCs w:val="21"/>
        </w:rPr>
        <w:t>Amanda Beatriz Montibeler</w:t>
      </w:r>
      <w:r w:rsidRPr="006F62EF">
        <w:rPr>
          <w:color w:val="1A1A1A"/>
          <w:szCs w:val="21"/>
          <w:vertAlign w:val="superscript"/>
        </w:rPr>
        <w:t>1</w:t>
      </w:r>
    </w:p>
    <w:p w:rsidR="000B5910" w:rsidRDefault="00057F5C">
      <w:pPr>
        <w:spacing w:before="240" w:after="100"/>
      </w:pPr>
      <w:r>
        <w:rPr>
          <w:b/>
          <w:color w:val="1A1A1A"/>
          <w:sz w:val="22"/>
        </w:rPr>
        <w:t>RESUMO</w:t>
      </w:r>
    </w:p>
    <w:p w:rsidR="000B5910" w:rsidRPr="006F62EF" w:rsidRDefault="00057F5C">
      <w:pPr>
        <w:spacing w:after="80"/>
        <w:jc w:val="both"/>
        <w:rPr>
          <w:sz w:val="22"/>
        </w:rPr>
      </w:pPr>
      <w:r w:rsidRPr="006F62EF">
        <w:rPr>
          <w:b/>
          <w:color w:val="1A1A1A"/>
          <w:sz w:val="22"/>
        </w:rPr>
        <w:t>Introdução:</w:t>
      </w:r>
      <w:r w:rsidRPr="006F62EF">
        <w:rPr>
          <w:color w:val="1A1A1A"/>
          <w:sz w:val="22"/>
        </w:rPr>
        <w:t xml:space="preserve"> A obesidade, classificada como Doença Crônica Não Transmissível, emerge como grave problema de saúde pública, caracterizada por crescimento acelerado nas últimas décadas. É definida pelo acúmulo excessivo de gordura corporal e associa-se a complicações como doenças cardiovasculares, diabetes mellitus tipo 2 e síndrome metabólica. No Brasil, observa-se aumento progressivo das internações relacionadas à obesidade, refletindo seu impacto crescente no sistema de saúde. </w:t>
      </w:r>
      <w:r w:rsidRPr="006F62EF">
        <w:rPr>
          <w:b/>
          <w:color w:val="1A1A1A"/>
          <w:sz w:val="22"/>
        </w:rPr>
        <w:t>Objetivo:</w:t>
      </w:r>
      <w:r w:rsidRPr="006F62EF">
        <w:rPr>
          <w:color w:val="1A1A1A"/>
          <w:sz w:val="22"/>
        </w:rPr>
        <w:t xml:space="preserve"> Analisar o perfil epidemiológico das internações por obesidade no Brasil entre 2012 e 2025, com base em dados do Sistema Único de Saúde. </w:t>
      </w:r>
      <w:r w:rsidRPr="006F62EF">
        <w:rPr>
          <w:b/>
          <w:color w:val="1A1A1A"/>
          <w:sz w:val="22"/>
        </w:rPr>
        <w:t>Métodos:</w:t>
      </w:r>
      <w:r w:rsidRPr="006F62EF">
        <w:rPr>
          <w:color w:val="1A1A1A"/>
          <w:sz w:val="22"/>
        </w:rPr>
        <w:t xml:space="preserve"> Estudo epidemiológico, ecológico e retrospectivo, realizado com dados do SIH/SUS disponíveis no DATASUS. Foram incluídas internações por obesidade (CID-10: E66). Avaliaram-se ano, região, sexo, faixa etária, óbitos, tempo de permanência e custos. Os dados foram descritos por frequências absolutas e relativas. Por utilizar dados públicos e agregados, dispensou-se aprovação por Comitê de Ética. </w:t>
      </w:r>
      <w:r w:rsidRPr="006F62EF">
        <w:rPr>
          <w:b/>
          <w:color w:val="1A1A1A"/>
          <w:sz w:val="22"/>
        </w:rPr>
        <w:t>Resultados:</w:t>
      </w:r>
      <w:r w:rsidRPr="006F62EF">
        <w:rPr>
          <w:color w:val="1A1A1A"/>
          <w:sz w:val="22"/>
        </w:rPr>
        <w:t xml:space="preserve"> Entre 2012 e 2025, registraram-se 151.333 internações por obesidade. Houve aumento entre 2013 e 2019 (9.816 para 16.474), redução em 2020 (4.903) e 2021 (4.432), e posterior retomada, alcançando 18.227 em 2025. As regiões Sul (64.680) e Sudeste (61.703) concentraram 83,5% dos casos. Observou-se predominância feminina (87,1%). A faixa etária mais acometida foi de 30 a 44 anos, com pico entre 35–39 anos (26.935). Registraram-se 287 óbitos. A média de permanência foi de 2,9 dias e o custo total atingiu R$ 841.989.723,29. </w:t>
      </w:r>
      <w:r w:rsidRPr="006F62EF">
        <w:rPr>
          <w:b/>
          <w:color w:val="1A1A1A"/>
          <w:sz w:val="22"/>
        </w:rPr>
        <w:t>Conclusão:</w:t>
      </w:r>
      <w:r w:rsidRPr="006F62EF">
        <w:rPr>
          <w:color w:val="1A1A1A"/>
          <w:sz w:val="22"/>
        </w:rPr>
        <w:t xml:space="preserve"> O aumento das internações por obesidade, com recuperação pós-pandemia, evidencia seu papel crescente na morbidade e sobrecarga do sistema de saúde. O predomínio em mulheres e adultos em idade produtiva reforça a necessidade de estratégias de prevenção e manejo precoce, com fortalecimento de políticas públicas voltadas ao controle dos fatores de risco metabólicos.</w:t>
      </w:r>
    </w:p>
    <w:p w:rsidR="000B5910" w:rsidRDefault="000B5910">
      <w:pPr>
        <w:pBdr>
          <w:bottom w:val="single" w:sz="4" w:space="2" w:color="808080"/>
        </w:pBdr>
        <w:spacing w:before="160" w:after="40"/>
      </w:pPr>
    </w:p>
    <w:p w:rsidR="000B5910" w:rsidRDefault="00057F5C">
      <w:pPr>
        <w:spacing w:after="0" w:line="252" w:lineRule="auto"/>
      </w:pPr>
      <w:r>
        <w:rPr>
          <w:color w:val="595959"/>
          <w:sz w:val="13"/>
          <w:vertAlign w:val="superscript"/>
        </w:rPr>
        <w:t>1</w:t>
      </w:r>
      <w:r>
        <w:rPr>
          <w:color w:val="595959"/>
          <w:sz w:val="17"/>
        </w:rPr>
        <w:t xml:space="preserve"> Estácio Idomed - Jaraguá do Sul</w:t>
      </w:r>
    </w:p>
    <w:p w:rsidR="000B5910" w:rsidRDefault="000B5910">
      <w:pPr>
        <w:sectPr w:rsidR="000B5910">
          <w:headerReference w:type="default" r:id="rId311"/>
          <w:footerReference w:type="default" r:id="rId31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EFETIVIDADE DOS AGONISTAS DO RECEPTOR DO PEPTÍDEO SEMELHANTE AO GLUCAGON TIPO 1 OBTIDOS POR AÇÃO JUDICIAL EM AMBULATÓRIO CLÍNICO DE OBESIDADE NO SUS</w:t>
      </w:r>
    </w:p>
    <w:p w:rsidR="000B5910" w:rsidRPr="006F62EF" w:rsidRDefault="00057F5C">
      <w:pPr>
        <w:spacing w:after="40" w:line="252" w:lineRule="auto"/>
        <w:jc w:val="right"/>
        <w:rPr>
          <w:szCs w:val="21"/>
        </w:rPr>
      </w:pPr>
      <w:r w:rsidRPr="006F62EF">
        <w:rPr>
          <w:color w:val="1A1A1A"/>
          <w:szCs w:val="21"/>
        </w:rPr>
        <w:t>Karoline Kuczynski</w:t>
      </w:r>
      <w:r w:rsidRPr="006F62EF">
        <w:rPr>
          <w:color w:val="1A1A1A"/>
          <w:szCs w:val="21"/>
          <w:vertAlign w:val="superscript"/>
        </w:rPr>
        <w:t>1</w:t>
      </w:r>
      <w:r w:rsidRPr="006F62EF">
        <w:rPr>
          <w:szCs w:val="21"/>
        </w:rPr>
        <w:br/>
      </w:r>
      <w:r w:rsidRPr="006F62EF">
        <w:rPr>
          <w:color w:val="1A1A1A"/>
          <w:szCs w:val="21"/>
        </w:rPr>
        <w:t>Julia Arriada Cabreira</w:t>
      </w:r>
      <w:r w:rsidRPr="006F62EF">
        <w:rPr>
          <w:color w:val="1A1A1A"/>
          <w:szCs w:val="21"/>
          <w:vertAlign w:val="superscript"/>
        </w:rPr>
        <w:t>1</w:t>
      </w:r>
      <w:r w:rsidRPr="006F62EF">
        <w:rPr>
          <w:szCs w:val="21"/>
        </w:rPr>
        <w:br/>
      </w:r>
      <w:r w:rsidRPr="006F62EF">
        <w:rPr>
          <w:color w:val="1A1A1A"/>
          <w:szCs w:val="21"/>
        </w:rPr>
        <w:t>Isabelle Moraes Dallasta</w:t>
      </w:r>
      <w:r w:rsidRPr="006F62EF">
        <w:rPr>
          <w:color w:val="1A1A1A"/>
          <w:szCs w:val="21"/>
          <w:vertAlign w:val="superscript"/>
        </w:rPr>
        <w:t>1</w:t>
      </w:r>
      <w:r w:rsidRPr="006F62EF">
        <w:rPr>
          <w:szCs w:val="21"/>
        </w:rPr>
        <w:br/>
      </w:r>
      <w:r w:rsidRPr="006F62EF">
        <w:rPr>
          <w:color w:val="1A1A1A"/>
          <w:szCs w:val="21"/>
        </w:rPr>
        <w:t>Gustavo Gomes Orugian Santos</w:t>
      </w:r>
      <w:r w:rsidRPr="006F62EF">
        <w:rPr>
          <w:color w:val="1A1A1A"/>
          <w:szCs w:val="21"/>
          <w:vertAlign w:val="superscript"/>
        </w:rPr>
        <w:t>1</w:t>
      </w:r>
    </w:p>
    <w:p w:rsidR="000B5910" w:rsidRDefault="00057F5C">
      <w:pPr>
        <w:spacing w:before="240" w:after="100"/>
      </w:pPr>
      <w:r>
        <w:rPr>
          <w:b/>
          <w:color w:val="1A1A1A"/>
          <w:sz w:val="22"/>
        </w:rPr>
        <w:t>RESUMO</w:t>
      </w:r>
    </w:p>
    <w:p w:rsidR="000B5910" w:rsidRPr="006F62EF" w:rsidRDefault="00057F5C">
      <w:pPr>
        <w:spacing w:after="80"/>
        <w:jc w:val="both"/>
        <w:rPr>
          <w:sz w:val="22"/>
        </w:rPr>
      </w:pPr>
      <w:r w:rsidRPr="006F62EF">
        <w:rPr>
          <w:b/>
          <w:color w:val="1A1A1A"/>
          <w:sz w:val="22"/>
        </w:rPr>
        <w:t>Introdução:</w:t>
      </w:r>
      <w:r w:rsidRPr="006F62EF">
        <w:rPr>
          <w:color w:val="1A1A1A"/>
          <w:sz w:val="22"/>
        </w:rPr>
        <w:t xml:space="preserve"> A obesidade é uma doença crônica de elevada prevalência e está associada a múltiplas comorbidades metabólicas. Apesar de os agonistas do receptor do peptídeo semelhante ao glucagon tipo 1 (GLP-1 RA) apresentarem alta eficácia no tratamento, eles não estão incorporados aos protocolos do Sistema Único de Saúde (SUS), o que leva à busca pela sua obtenção por via judicial. </w:t>
      </w:r>
      <w:r w:rsidRPr="006F62EF">
        <w:rPr>
          <w:b/>
          <w:color w:val="1A1A1A"/>
          <w:sz w:val="22"/>
        </w:rPr>
        <w:t>Objetivo:</w:t>
      </w:r>
      <w:r w:rsidRPr="006F62EF">
        <w:rPr>
          <w:color w:val="1A1A1A"/>
          <w:sz w:val="22"/>
        </w:rPr>
        <w:t xml:space="preserve"> Avaliar o perfil clínico dos usuários do SUS que obtiveram acesso aos GLP-1 RA por via judicial e analisar </w:t>
      </w:r>
      <w:proofErr w:type="gramStart"/>
      <w:r w:rsidRPr="006F62EF">
        <w:rPr>
          <w:color w:val="1A1A1A"/>
          <w:sz w:val="22"/>
        </w:rPr>
        <w:t>a</w:t>
      </w:r>
      <w:proofErr w:type="gramEnd"/>
      <w:r w:rsidRPr="006F62EF">
        <w:rPr>
          <w:color w:val="1A1A1A"/>
          <w:sz w:val="22"/>
        </w:rPr>
        <w:t xml:space="preserve"> efetividade dessas medicações. </w:t>
      </w:r>
      <w:r w:rsidRPr="006F62EF">
        <w:rPr>
          <w:b/>
          <w:color w:val="1A1A1A"/>
          <w:sz w:val="22"/>
        </w:rPr>
        <w:t>Métodos:</w:t>
      </w:r>
      <w:r w:rsidRPr="006F62EF">
        <w:rPr>
          <w:color w:val="1A1A1A"/>
          <w:sz w:val="22"/>
        </w:rPr>
        <w:t xml:space="preserve"> Estudo observacional retrospectivo com análise de dados de prontuários em ambulatório especializado do SUS realizado entre agosto de 2024 e novembro de 2025. Foram analisados prontuários de pacientes com índice de massa corporal (IMC) â‰¥ 30 kg/m² ou â‰¥ 25 kg/m² com comorbidades. Comparou-se o grupo que obteve GLP-1 RA, por via judicial ou particular, com o grupo controle. A variação ponderal foi avaliada após o seguimento mínimo de 12 semanas. </w:t>
      </w:r>
      <w:r w:rsidRPr="006F62EF">
        <w:rPr>
          <w:b/>
          <w:color w:val="1A1A1A"/>
          <w:sz w:val="22"/>
        </w:rPr>
        <w:t>Resultados:</w:t>
      </w:r>
      <w:r w:rsidRPr="006F62EF">
        <w:rPr>
          <w:color w:val="1A1A1A"/>
          <w:sz w:val="22"/>
        </w:rPr>
        <w:t xml:space="preserve"> Foram avaliados 63 pacientes, divididos em dois grupos: usuários de GLP-1 RA obtidos por judicialização (n=23) e grupo controle (n=40). O grupo usuário de GLP-1 RA apresentou IMC inicial significativamente maior (44,8 ± 7,8 kg/m²) que o controle (39,4 ± 8,4 kg/m²; p=0,02). Observou-se no grupo judicializado somente o uso da liraglutida, sendo a semaglutida restrita aos que adquiriram de forma privada. A perda ponderal relativa no grupo judicializado foi de 3,36% ± 7,1% (3,65 ± 8,62 kg), enquanto que entre os indivíduos usuários de outras medicações antiobesidade a perda relativa foi de 3,62% ± 4,2% (3,27 ± 3,65 kg), além disso o grupo em dieta e atividade física isoladas apresentou ganho de peso médio de 2,33% ± 6,98% (+2,27 ± 7,62 kg). Usuários de semaglutida tiveram perda superior (9,3% ± 2,9%) em comparação aos de liraglutida (3,2% ± 6,9%). A perda observada no presente estudo foi menos significativa do que aquela reportada nos estudos pivotais randomizados SCALE e STEP 1. </w:t>
      </w:r>
      <w:r w:rsidRPr="006F62EF">
        <w:rPr>
          <w:b/>
          <w:color w:val="1A1A1A"/>
          <w:sz w:val="22"/>
        </w:rPr>
        <w:t>Conclusão:</w:t>
      </w:r>
      <w:r w:rsidRPr="006F62EF">
        <w:rPr>
          <w:color w:val="1A1A1A"/>
          <w:sz w:val="22"/>
        </w:rPr>
        <w:t xml:space="preserve"> Pacientes que acessam GLP-1 RA via judicial possuem perfil clínico mais grave e maior carga de comorbidades. Embora os fármacos sejam mais eficazes que intervenções isoladas, a judicialização revela-se uma estratégia tardia e desigual, fato que reforça a necessidade de políticas públicas para </w:t>
      </w:r>
      <w:proofErr w:type="gramStart"/>
      <w:r w:rsidRPr="006F62EF">
        <w:rPr>
          <w:color w:val="1A1A1A"/>
          <w:sz w:val="22"/>
        </w:rPr>
        <w:t>a</w:t>
      </w:r>
      <w:proofErr w:type="gramEnd"/>
      <w:r w:rsidRPr="006F62EF">
        <w:rPr>
          <w:color w:val="1A1A1A"/>
          <w:sz w:val="22"/>
        </w:rPr>
        <w:t xml:space="preserve"> incorporação planejada dessas terapias no SUS.</w:t>
      </w:r>
    </w:p>
    <w:p w:rsidR="000B5910" w:rsidRDefault="000B5910">
      <w:pPr>
        <w:pBdr>
          <w:bottom w:val="single" w:sz="4" w:space="2" w:color="808080"/>
        </w:pBdr>
        <w:spacing w:before="160" w:after="40"/>
      </w:pPr>
    </w:p>
    <w:p w:rsidR="000B5910" w:rsidRPr="006F62EF" w:rsidRDefault="00057F5C">
      <w:pPr>
        <w:spacing w:after="0" w:line="252" w:lineRule="auto"/>
        <w:rPr>
          <w:sz w:val="16"/>
          <w:szCs w:val="16"/>
        </w:rPr>
      </w:pPr>
      <w:r w:rsidRPr="006F62EF">
        <w:rPr>
          <w:color w:val="595959"/>
          <w:sz w:val="16"/>
          <w:szCs w:val="16"/>
          <w:vertAlign w:val="superscript"/>
        </w:rPr>
        <w:t>1</w:t>
      </w:r>
      <w:r w:rsidRPr="006F62EF">
        <w:rPr>
          <w:color w:val="595959"/>
          <w:sz w:val="16"/>
          <w:szCs w:val="16"/>
        </w:rPr>
        <w:t xml:space="preserve"> UFPel</w:t>
      </w:r>
    </w:p>
    <w:p w:rsidR="000B5910" w:rsidRDefault="000B5910">
      <w:pPr>
        <w:sectPr w:rsidR="000B5910">
          <w:headerReference w:type="default" r:id="rId313"/>
          <w:footerReference w:type="default" r:id="rId314"/>
          <w:pgSz w:w="12240" w:h="15840"/>
          <w:pgMar w:top="1417" w:right="1417" w:bottom="1417" w:left="1417" w:header="680" w:footer="680" w:gutter="0"/>
          <w:cols w:space="720"/>
        </w:sectPr>
      </w:pPr>
    </w:p>
    <w:p w:rsidR="000B5910" w:rsidRPr="006F62EF" w:rsidRDefault="00057F5C">
      <w:pPr>
        <w:spacing w:before="80" w:line="252" w:lineRule="auto"/>
        <w:jc w:val="center"/>
        <w:rPr>
          <w:sz w:val="22"/>
        </w:rPr>
      </w:pPr>
      <w:r w:rsidRPr="006F62EF">
        <w:rPr>
          <w:b/>
          <w:color w:val="1A1A1A"/>
          <w:sz w:val="28"/>
        </w:rPr>
        <w:lastRenderedPageBreak/>
        <w:t>EFICÁCIA E SEGURANÇA DOS ANÁLOGOS DE GLP-1 EM CRIANÇAS (6-12 ANOS) VS. ADOLESCENTES: UMA REVISÃO SISTEMÁTICA</w:t>
      </w:r>
    </w:p>
    <w:p w:rsidR="000B5910" w:rsidRPr="006F62EF" w:rsidRDefault="00057F5C">
      <w:pPr>
        <w:spacing w:after="40" w:line="252" w:lineRule="auto"/>
        <w:jc w:val="right"/>
        <w:rPr>
          <w:szCs w:val="21"/>
        </w:rPr>
      </w:pPr>
      <w:r w:rsidRPr="006F62EF">
        <w:rPr>
          <w:color w:val="1A1A1A"/>
          <w:szCs w:val="21"/>
        </w:rPr>
        <w:t>Bruna Elis Martiny</w:t>
      </w:r>
      <w:r w:rsidRPr="006F62EF">
        <w:rPr>
          <w:color w:val="1A1A1A"/>
          <w:szCs w:val="21"/>
          <w:vertAlign w:val="superscript"/>
        </w:rPr>
        <w:t>1</w:t>
      </w:r>
      <w:r w:rsidRPr="006F62EF">
        <w:rPr>
          <w:szCs w:val="21"/>
        </w:rPr>
        <w:br/>
      </w:r>
      <w:r w:rsidRPr="006F62EF">
        <w:rPr>
          <w:color w:val="1A1A1A"/>
          <w:szCs w:val="21"/>
        </w:rPr>
        <w:t>Rafaela Sumienski Girardi</w:t>
      </w:r>
      <w:r w:rsidRPr="006F62EF">
        <w:rPr>
          <w:color w:val="1A1A1A"/>
          <w:szCs w:val="21"/>
          <w:vertAlign w:val="superscript"/>
        </w:rPr>
        <w:t>2</w:t>
      </w:r>
      <w:r w:rsidRPr="006F62EF">
        <w:rPr>
          <w:szCs w:val="21"/>
        </w:rPr>
        <w:br/>
      </w:r>
      <w:r w:rsidRPr="006F62EF">
        <w:rPr>
          <w:color w:val="1A1A1A"/>
          <w:szCs w:val="21"/>
        </w:rPr>
        <w:t>Giulia Scain</w:t>
      </w:r>
      <w:r w:rsidRPr="006F62EF">
        <w:rPr>
          <w:color w:val="1A1A1A"/>
          <w:szCs w:val="21"/>
          <w:vertAlign w:val="superscript"/>
        </w:rPr>
        <w:t>2</w:t>
      </w:r>
      <w:r w:rsidRPr="006F62EF">
        <w:rPr>
          <w:szCs w:val="21"/>
        </w:rPr>
        <w:br/>
      </w:r>
      <w:r w:rsidRPr="006F62EF">
        <w:rPr>
          <w:color w:val="1A1A1A"/>
          <w:szCs w:val="21"/>
        </w:rPr>
        <w:t>Karolaine Aparecida Borba Lopes</w:t>
      </w:r>
      <w:r w:rsidRPr="006F62EF">
        <w:rPr>
          <w:color w:val="1A1A1A"/>
          <w:szCs w:val="21"/>
          <w:vertAlign w:val="superscript"/>
        </w:rPr>
        <w:t>3</w:t>
      </w:r>
      <w:r w:rsidRPr="006F62EF">
        <w:rPr>
          <w:szCs w:val="21"/>
        </w:rPr>
        <w:br/>
      </w:r>
      <w:r w:rsidRPr="006F62EF">
        <w:rPr>
          <w:color w:val="1A1A1A"/>
          <w:szCs w:val="21"/>
        </w:rPr>
        <w:t>Bruno Boeira Castiel</w:t>
      </w:r>
      <w:r w:rsidRPr="006F62EF">
        <w:rPr>
          <w:color w:val="1A1A1A"/>
          <w:szCs w:val="21"/>
          <w:vertAlign w:val="superscript"/>
        </w:rPr>
        <w:t>4</w:t>
      </w:r>
      <w:r w:rsidRPr="006F62EF">
        <w:rPr>
          <w:szCs w:val="21"/>
        </w:rPr>
        <w:br/>
      </w:r>
      <w:r w:rsidRPr="006F62EF">
        <w:rPr>
          <w:color w:val="1A1A1A"/>
          <w:szCs w:val="21"/>
        </w:rPr>
        <w:t>Fernando Augusto Siuta dos Santos</w:t>
      </w:r>
      <w:r w:rsidRPr="006F62EF">
        <w:rPr>
          <w:color w:val="1A1A1A"/>
          <w:szCs w:val="21"/>
          <w:vertAlign w:val="superscript"/>
        </w:rPr>
        <w:t>2</w:t>
      </w:r>
      <w:r w:rsidRPr="006F62EF">
        <w:rPr>
          <w:szCs w:val="21"/>
        </w:rPr>
        <w:br/>
      </w:r>
      <w:r w:rsidRPr="006F62EF">
        <w:rPr>
          <w:color w:val="1A1A1A"/>
          <w:szCs w:val="21"/>
        </w:rPr>
        <w:t>Julia Loureiro Chaves Cé</w:t>
      </w:r>
      <w:r w:rsidRPr="006F62EF">
        <w:rPr>
          <w:color w:val="1A1A1A"/>
          <w:szCs w:val="21"/>
          <w:vertAlign w:val="superscript"/>
        </w:rPr>
        <w:t>2</w:t>
      </w:r>
      <w:r w:rsidRPr="006F62EF">
        <w:rPr>
          <w:szCs w:val="21"/>
        </w:rPr>
        <w:br/>
      </w:r>
      <w:r w:rsidRPr="006F62EF">
        <w:rPr>
          <w:color w:val="1A1A1A"/>
          <w:szCs w:val="21"/>
        </w:rPr>
        <w:t>Mariana Weremeier Weber</w:t>
      </w:r>
      <w:r w:rsidRPr="006F62EF">
        <w:rPr>
          <w:color w:val="1A1A1A"/>
          <w:szCs w:val="21"/>
          <w:vertAlign w:val="superscript"/>
        </w:rPr>
        <w:t>2</w:t>
      </w:r>
      <w:r w:rsidRPr="006F62EF">
        <w:rPr>
          <w:szCs w:val="21"/>
        </w:rPr>
        <w:br/>
      </w:r>
      <w:r w:rsidRPr="006F62EF">
        <w:rPr>
          <w:color w:val="1A1A1A"/>
          <w:szCs w:val="21"/>
        </w:rPr>
        <w:t>Pedro Dytz Marin</w:t>
      </w:r>
      <w:r w:rsidRPr="006F62EF">
        <w:rPr>
          <w:color w:val="1A1A1A"/>
          <w:szCs w:val="21"/>
          <w:vertAlign w:val="superscript"/>
        </w:rPr>
        <w:t>2</w:t>
      </w:r>
    </w:p>
    <w:p w:rsidR="000B5910" w:rsidRPr="006F62EF" w:rsidRDefault="00057F5C" w:rsidP="006F62EF">
      <w:pPr>
        <w:spacing w:before="200" w:after="100" w:line="240" w:lineRule="auto"/>
        <w:rPr>
          <w:sz w:val="22"/>
        </w:rPr>
      </w:pPr>
      <w:r w:rsidRPr="006F62EF">
        <w:rPr>
          <w:b/>
          <w:color w:val="1A1A1A"/>
          <w:sz w:val="22"/>
        </w:rPr>
        <w:t>RESUMO</w:t>
      </w:r>
    </w:p>
    <w:p w:rsidR="000B5910" w:rsidRPr="006F62EF" w:rsidRDefault="00057F5C" w:rsidP="006F62EF">
      <w:pPr>
        <w:spacing w:after="80" w:line="240" w:lineRule="auto"/>
        <w:jc w:val="both"/>
        <w:rPr>
          <w:sz w:val="22"/>
        </w:rPr>
      </w:pPr>
      <w:r w:rsidRPr="006F62EF">
        <w:rPr>
          <w:b/>
          <w:color w:val="1A1A1A"/>
          <w:sz w:val="22"/>
        </w:rPr>
        <w:t>Introdução:</w:t>
      </w:r>
      <w:r w:rsidRPr="006F62EF">
        <w:rPr>
          <w:color w:val="1A1A1A"/>
          <w:sz w:val="22"/>
        </w:rPr>
        <w:t xml:space="preserve"> Agonistas do receptor de GLP-1, como liraglutida e semaglutida, foram aprovados para o manejo da obesidade em adolescentes. Atualmente, apenas a liraglutida está aprovada para o tratamento da obesidade não monogênica e não sindrômica em crianças menores de 12 anos, permanecendo uma lacuna terapêutica importante quanto à diversidade de opções farmacológicas. </w:t>
      </w:r>
      <w:r w:rsidRPr="006F62EF">
        <w:rPr>
          <w:b/>
          <w:color w:val="1A1A1A"/>
          <w:sz w:val="22"/>
        </w:rPr>
        <w:t>Objetivo:</w:t>
      </w:r>
      <w:r w:rsidRPr="006F62EF">
        <w:rPr>
          <w:color w:val="1A1A1A"/>
          <w:sz w:val="22"/>
        </w:rPr>
        <w:t xml:space="preserve"> Comparar eficácia, expressa pelo Escore-Z do IMC, segurança e adesão aos GLP-1RA entre crianças (6-12 anos) e adolescentes (12-18 anos). </w:t>
      </w:r>
      <w:r w:rsidRPr="006F62EF">
        <w:rPr>
          <w:b/>
          <w:color w:val="1A1A1A"/>
          <w:sz w:val="22"/>
        </w:rPr>
        <w:t>Métodos:</w:t>
      </w:r>
      <w:r w:rsidRPr="006F62EF">
        <w:rPr>
          <w:color w:val="1A1A1A"/>
          <w:sz w:val="22"/>
        </w:rPr>
        <w:t xml:space="preserve"> Revisão conduzida via protocolo PRISMA nas bases PubMed, SciELO e Cochrane Library. Foram identificados 105 estudos iniciais, selecionando-se ECRs que avaliaram o Escore-Z do IMC, segurança e adesão em pacientes de 6 </w:t>
      </w:r>
      <w:proofErr w:type="gramStart"/>
      <w:r w:rsidRPr="006F62EF">
        <w:rPr>
          <w:color w:val="1A1A1A"/>
          <w:sz w:val="22"/>
        </w:rPr>
        <w:t>a</w:t>
      </w:r>
      <w:proofErr w:type="gramEnd"/>
      <w:r w:rsidRPr="006F62EF">
        <w:rPr>
          <w:color w:val="1A1A1A"/>
          <w:sz w:val="22"/>
        </w:rPr>
        <w:t xml:space="preserve"> 18 anos. </w:t>
      </w:r>
      <w:r w:rsidRPr="006F62EF">
        <w:rPr>
          <w:b/>
          <w:color w:val="1A1A1A"/>
          <w:sz w:val="22"/>
        </w:rPr>
        <w:t>Resultados:</w:t>
      </w:r>
      <w:r w:rsidRPr="006F62EF">
        <w:rPr>
          <w:color w:val="1A1A1A"/>
          <w:sz w:val="22"/>
        </w:rPr>
        <w:t xml:space="preserve"> Foram analisados 4 ECRs de fase 3. Em adolescentes (12-18 anos), a semaglutida 2,4 mg promoveu redução média no Escore-Z do IMC de -0,58, com diferença líquida de 17,7 kg a favor do fármaco. Ainda nessa faixa etária, a liraglutida 3 mg resultou em redução de IMC &gt;5% em 43,3% dos pacientes (vs. 18,7% no placebo), com variação no Escore-Z de -0,25. Em crianças (6-12 anos), a liraglutida demonstrou redução no Escore-Z de -0,27 (IC 95%: -0,40 a -0,14) e redução de 5,8% no IMC, comparado ao aumento de 1,6% no controle. Os efeitos adversos gastrointestinais foram prevalentes: nos adolescentes, ocorreram em 62% dos usuários de semaglutida e em 64,8% dos usuários de liraglutida. Já no grupo pediátrico (6-12 anos), </w:t>
      </w:r>
      <w:proofErr w:type="gramStart"/>
      <w:r w:rsidRPr="006F62EF">
        <w:rPr>
          <w:color w:val="1A1A1A"/>
          <w:sz w:val="22"/>
        </w:rPr>
        <w:t>a</w:t>
      </w:r>
      <w:proofErr w:type="gramEnd"/>
      <w:r w:rsidRPr="006F62EF">
        <w:rPr>
          <w:color w:val="1A1A1A"/>
          <w:sz w:val="22"/>
        </w:rPr>
        <w:t xml:space="preserve"> incidência com liraglutida atingiu 80%. Não foram observados impactos negativos no crescimento linear ou maturação sexual em ambas as faixas etárias. Especificamente no grupo de 6-12 anos, observou-se efeito rebote 26 semanas após o fim do tratamento com liraglutida, com ganho de peso de 10,7%. </w:t>
      </w:r>
      <w:proofErr w:type="gramStart"/>
      <w:r w:rsidRPr="006F62EF">
        <w:rPr>
          <w:color w:val="1A1A1A"/>
          <w:sz w:val="22"/>
        </w:rPr>
        <w:t>A</w:t>
      </w:r>
      <w:proofErr w:type="gramEnd"/>
      <w:r w:rsidRPr="006F62EF">
        <w:rPr>
          <w:color w:val="1A1A1A"/>
          <w:sz w:val="22"/>
        </w:rPr>
        <w:t xml:space="preserve"> adesão declinou com o avanço da idade: a cada ano adicional, a chance de adesão diminuía (OR = 0,78; p &lt; 0,001). </w:t>
      </w:r>
      <w:r w:rsidRPr="006F62EF">
        <w:rPr>
          <w:b/>
          <w:color w:val="1A1A1A"/>
          <w:sz w:val="22"/>
        </w:rPr>
        <w:t>Conclusão:</w:t>
      </w:r>
      <w:r w:rsidRPr="006F62EF">
        <w:rPr>
          <w:color w:val="1A1A1A"/>
          <w:sz w:val="22"/>
        </w:rPr>
        <w:t xml:space="preserve"> A redução do Escore-Z confirma </w:t>
      </w:r>
      <w:proofErr w:type="gramStart"/>
      <w:r w:rsidRPr="006F62EF">
        <w:rPr>
          <w:color w:val="1A1A1A"/>
          <w:sz w:val="22"/>
        </w:rPr>
        <w:t>a</w:t>
      </w:r>
      <w:proofErr w:type="gramEnd"/>
      <w:r w:rsidRPr="006F62EF">
        <w:rPr>
          <w:color w:val="1A1A1A"/>
          <w:sz w:val="22"/>
        </w:rPr>
        <w:t xml:space="preserve"> eficácia dos análogos do GLP-1 em ambas as faixas etárias. A semaglutida apresenta resultados ponderais mais robustos em adolescentes, enquanto a liraglutida é segura e eficaz na faixa pediátrica. O ganho de peso após a suspensão da droga evidencia o caráter crônico da obesidade e a necessidade de manejo contínuo. Paralelamente, </w:t>
      </w:r>
      <w:proofErr w:type="gramStart"/>
      <w:r w:rsidRPr="006F62EF">
        <w:rPr>
          <w:color w:val="1A1A1A"/>
          <w:sz w:val="22"/>
        </w:rPr>
        <w:t>a</w:t>
      </w:r>
      <w:proofErr w:type="gramEnd"/>
      <w:r w:rsidRPr="006F62EF">
        <w:rPr>
          <w:color w:val="1A1A1A"/>
          <w:sz w:val="22"/>
        </w:rPr>
        <w:t xml:space="preserve"> alta prevalência de efeitos gastrointestinais, especialmente nas crianças, e a queda na adesão com o avançar da idade sugerem que o sucesso terapêutico requer suporte comportamental e monitoramento clínico individualizados.</w:t>
      </w:r>
    </w:p>
    <w:p w:rsidR="000B5910" w:rsidRDefault="000B5910" w:rsidP="006F62EF">
      <w:pPr>
        <w:pBdr>
          <w:bottom w:val="single" w:sz="4" w:space="2" w:color="808080"/>
        </w:pBdr>
        <w:spacing w:before="120" w:after="40" w:line="240" w:lineRule="auto"/>
      </w:pPr>
    </w:p>
    <w:p w:rsidR="000B5910" w:rsidRPr="006F62EF" w:rsidRDefault="00057F5C" w:rsidP="006F62EF">
      <w:pPr>
        <w:spacing w:after="0" w:line="240" w:lineRule="auto"/>
        <w:rPr>
          <w:sz w:val="16"/>
          <w:szCs w:val="16"/>
        </w:rPr>
      </w:pPr>
      <w:r w:rsidRPr="006F62EF">
        <w:rPr>
          <w:color w:val="595959"/>
          <w:sz w:val="16"/>
          <w:szCs w:val="16"/>
          <w:vertAlign w:val="superscript"/>
        </w:rPr>
        <w:t>1</w:t>
      </w:r>
      <w:r w:rsidRPr="006F62EF">
        <w:rPr>
          <w:color w:val="595959"/>
          <w:sz w:val="16"/>
          <w:szCs w:val="16"/>
        </w:rPr>
        <w:t xml:space="preserve"> Universidade Luterana do Brasil</w:t>
      </w:r>
    </w:p>
    <w:p w:rsidR="000B5910" w:rsidRPr="006F62EF" w:rsidRDefault="00057F5C" w:rsidP="006F62EF">
      <w:pPr>
        <w:spacing w:after="0" w:line="240" w:lineRule="auto"/>
        <w:rPr>
          <w:sz w:val="16"/>
          <w:szCs w:val="16"/>
        </w:rPr>
      </w:pPr>
      <w:r w:rsidRPr="006F62EF">
        <w:rPr>
          <w:color w:val="595959"/>
          <w:sz w:val="16"/>
          <w:szCs w:val="16"/>
          <w:vertAlign w:val="superscript"/>
        </w:rPr>
        <w:t>2</w:t>
      </w:r>
      <w:r w:rsidRPr="006F62EF">
        <w:rPr>
          <w:color w:val="595959"/>
          <w:sz w:val="16"/>
          <w:szCs w:val="16"/>
        </w:rPr>
        <w:t xml:space="preserve"> Universidade Federal de Ciências da Saúde de Porto Alegre</w:t>
      </w:r>
    </w:p>
    <w:p w:rsidR="000B5910" w:rsidRPr="006F62EF" w:rsidRDefault="00057F5C" w:rsidP="006F62EF">
      <w:pPr>
        <w:spacing w:after="0" w:line="240" w:lineRule="auto"/>
        <w:rPr>
          <w:sz w:val="16"/>
          <w:szCs w:val="16"/>
        </w:rPr>
      </w:pPr>
      <w:r w:rsidRPr="006F62EF">
        <w:rPr>
          <w:color w:val="595959"/>
          <w:sz w:val="16"/>
          <w:szCs w:val="16"/>
          <w:vertAlign w:val="superscript"/>
        </w:rPr>
        <w:t>3</w:t>
      </w:r>
      <w:r w:rsidRPr="006F62EF">
        <w:rPr>
          <w:color w:val="595959"/>
          <w:sz w:val="16"/>
          <w:szCs w:val="16"/>
        </w:rPr>
        <w:t xml:space="preserve"> Universidade Federal do Rio Grande do Sul</w:t>
      </w:r>
    </w:p>
    <w:p w:rsidR="000B5910" w:rsidRPr="006F62EF" w:rsidRDefault="00057F5C" w:rsidP="006F62EF">
      <w:pPr>
        <w:spacing w:after="0" w:line="240" w:lineRule="auto"/>
        <w:rPr>
          <w:sz w:val="16"/>
          <w:szCs w:val="16"/>
        </w:rPr>
      </w:pPr>
      <w:r w:rsidRPr="006F62EF">
        <w:rPr>
          <w:color w:val="595959"/>
          <w:sz w:val="16"/>
          <w:szCs w:val="16"/>
          <w:vertAlign w:val="superscript"/>
        </w:rPr>
        <w:t>4</w:t>
      </w:r>
      <w:r w:rsidRPr="006F62EF">
        <w:rPr>
          <w:color w:val="595959"/>
          <w:sz w:val="16"/>
          <w:szCs w:val="16"/>
        </w:rPr>
        <w:t xml:space="preserve"> Pontifícia Universidade Católica</w:t>
      </w:r>
    </w:p>
    <w:p w:rsidR="000B5910" w:rsidRDefault="000B5910">
      <w:pPr>
        <w:sectPr w:rsidR="000B5910">
          <w:headerReference w:type="default" r:id="rId315"/>
          <w:footerReference w:type="default" r:id="rId316"/>
          <w:pgSz w:w="12240" w:h="15840"/>
          <w:pgMar w:top="1417" w:right="1417" w:bottom="1417" w:left="1417" w:header="680" w:footer="680" w:gutter="0"/>
          <w:cols w:space="720"/>
        </w:sectPr>
      </w:pPr>
    </w:p>
    <w:p w:rsidR="000B5910" w:rsidRDefault="00057F5C">
      <w:pPr>
        <w:spacing w:before="80" w:line="252" w:lineRule="auto"/>
        <w:jc w:val="center"/>
        <w:rPr>
          <w:sz w:val="22"/>
          <w:szCs w:val="24"/>
        </w:rPr>
      </w:pPr>
      <w:r>
        <w:rPr>
          <w:b/>
          <w:color w:val="1A1A1A"/>
          <w:sz w:val="28"/>
          <w:szCs w:val="24"/>
        </w:rPr>
        <w:lastRenderedPageBreak/>
        <w:t>EVOLUÇÃO DA PREVALÊNCIA DE OBESIDADE E DESFECHOS ASSOCIADOS EM IDOSOS HOSPITALIZADOS: UMA ANÁLISE COMPARATIVA ENTRE 2019 E 2025</w:t>
      </w:r>
    </w:p>
    <w:p w:rsidR="000B5910" w:rsidRPr="00CD5EEE" w:rsidRDefault="00057F5C">
      <w:pPr>
        <w:spacing w:after="40" w:line="242" w:lineRule="auto"/>
        <w:jc w:val="right"/>
        <w:rPr>
          <w:szCs w:val="21"/>
        </w:rPr>
      </w:pPr>
      <w:r w:rsidRPr="00CD5EEE">
        <w:rPr>
          <w:color w:val="1A1A1A"/>
          <w:szCs w:val="21"/>
        </w:rPr>
        <w:t>Caroline Goergen</w:t>
      </w:r>
      <w:r w:rsidRPr="00CD5EEE">
        <w:rPr>
          <w:color w:val="1A1A1A"/>
          <w:szCs w:val="21"/>
          <w:vertAlign w:val="superscript"/>
        </w:rPr>
        <w:t>1</w:t>
      </w:r>
      <w:r w:rsidRPr="00CD5EEE">
        <w:rPr>
          <w:szCs w:val="21"/>
        </w:rPr>
        <w:br/>
      </w:r>
      <w:r w:rsidRPr="00CD5EEE">
        <w:rPr>
          <w:color w:val="1A1A1A"/>
          <w:szCs w:val="21"/>
        </w:rPr>
        <w:t>Alice Weiss Jung</w:t>
      </w:r>
      <w:r w:rsidRPr="00CD5EEE">
        <w:rPr>
          <w:color w:val="1A1A1A"/>
          <w:szCs w:val="21"/>
          <w:vertAlign w:val="superscript"/>
        </w:rPr>
        <w:t>1</w:t>
      </w:r>
      <w:r w:rsidRPr="00CD5EEE">
        <w:rPr>
          <w:szCs w:val="21"/>
        </w:rPr>
        <w:br/>
      </w:r>
      <w:r w:rsidRPr="00CD5EEE">
        <w:rPr>
          <w:color w:val="1A1A1A"/>
          <w:szCs w:val="21"/>
        </w:rPr>
        <w:t>Gabriela de Oliveira Centofante</w:t>
      </w:r>
      <w:r w:rsidRPr="00CD5EEE">
        <w:rPr>
          <w:color w:val="1A1A1A"/>
          <w:szCs w:val="21"/>
          <w:vertAlign w:val="superscript"/>
        </w:rPr>
        <w:t>1</w:t>
      </w:r>
      <w:r w:rsidRPr="00CD5EEE">
        <w:rPr>
          <w:szCs w:val="21"/>
        </w:rPr>
        <w:br/>
      </w:r>
      <w:r w:rsidRPr="00CD5EEE">
        <w:rPr>
          <w:color w:val="1A1A1A"/>
          <w:szCs w:val="21"/>
        </w:rPr>
        <w:t>Isabella Mancio</w:t>
      </w:r>
      <w:r w:rsidRPr="00CD5EEE">
        <w:rPr>
          <w:color w:val="1A1A1A"/>
          <w:szCs w:val="21"/>
          <w:vertAlign w:val="superscript"/>
        </w:rPr>
        <w:t>1</w:t>
      </w:r>
      <w:r w:rsidRPr="00CD5EEE">
        <w:rPr>
          <w:szCs w:val="21"/>
        </w:rPr>
        <w:br/>
      </w:r>
      <w:r w:rsidRPr="00CD5EEE">
        <w:rPr>
          <w:color w:val="1A1A1A"/>
          <w:szCs w:val="21"/>
        </w:rPr>
        <w:t>Laura Mattiello Ribeiro</w:t>
      </w:r>
      <w:r w:rsidRPr="00CD5EEE">
        <w:rPr>
          <w:color w:val="1A1A1A"/>
          <w:szCs w:val="21"/>
          <w:vertAlign w:val="superscript"/>
        </w:rPr>
        <w:t>1</w:t>
      </w:r>
      <w:r w:rsidRPr="00CD5EEE">
        <w:rPr>
          <w:szCs w:val="21"/>
        </w:rPr>
        <w:br/>
      </w:r>
      <w:r w:rsidRPr="00CD5EEE">
        <w:rPr>
          <w:color w:val="1A1A1A"/>
          <w:szCs w:val="21"/>
        </w:rPr>
        <w:t>Maria Eduarda Vieira Ferreira</w:t>
      </w:r>
      <w:r w:rsidRPr="00CD5EEE">
        <w:rPr>
          <w:color w:val="1A1A1A"/>
          <w:szCs w:val="21"/>
          <w:vertAlign w:val="superscript"/>
        </w:rPr>
        <w:t>1</w:t>
      </w:r>
      <w:r w:rsidRPr="00CD5EEE">
        <w:rPr>
          <w:szCs w:val="21"/>
        </w:rPr>
        <w:br/>
      </w:r>
      <w:r w:rsidRPr="00CD5EEE">
        <w:rPr>
          <w:color w:val="1A1A1A"/>
          <w:szCs w:val="21"/>
        </w:rPr>
        <w:t>Janine Alessi</w:t>
      </w:r>
      <w:r w:rsidRPr="00CD5EEE">
        <w:rPr>
          <w:color w:val="1A1A1A"/>
          <w:szCs w:val="21"/>
          <w:vertAlign w:val="superscript"/>
        </w:rPr>
        <w:t>1</w:t>
      </w:r>
    </w:p>
    <w:p w:rsidR="000B5910" w:rsidRDefault="00057F5C">
      <w:pPr>
        <w:spacing w:before="200" w:after="100"/>
      </w:pPr>
      <w:r>
        <w:rPr>
          <w:b/>
          <w:color w:val="1A1A1A"/>
          <w:sz w:val="22"/>
          <w:szCs w:val="24"/>
        </w:rPr>
        <w:t>RESUMO</w:t>
      </w:r>
    </w:p>
    <w:p w:rsidR="000B5910" w:rsidRPr="00CD5EEE" w:rsidRDefault="00057F5C">
      <w:pPr>
        <w:spacing w:after="80" w:line="264" w:lineRule="auto"/>
        <w:jc w:val="both"/>
        <w:rPr>
          <w:sz w:val="22"/>
        </w:rPr>
      </w:pPr>
      <w:r w:rsidRPr="00CD5EEE">
        <w:rPr>
          <w:b/>
          <w:color w:val="1A1A1A"/>
          <w:sz w:val="22"/>
        </w:rPr>
        <w:t xml:space="preserve">Introdução: </w:t>
      </w:r>
      <w:r w:rsidRPr="00CD5EEE">
        <w:rPr>
          <w:color w:val="1A1A1A"/>
          <w:sz w:val="22"/>
        </w:rPr>
        <w:t xml:space="preserve">A obesidade global dobrou em 40 anos, atingindo 1 bilhão de pessoas. Simultaneamente, a população idosa no Brasil cresceu 57,4% entre 2010 e 2022. Esse novo perfil demográfico e de comorbidades pressiona diretamente o sistema de saúde brasileiro. </w:t>
      </w:r>
      <w:r w:rsidRPr="00CD5EEE">
        <w:rPr>
          <w:b/>
          <w:color w:val="1A1A1A"/>
          <w:sz w:val="22"/>
        </w:rPr>
        <w:t xml:space="preserve">Objetivo: </w:t>
      </w:r>
      <w:r w:rsidRPr="00CD5EEE">
        <w:rPr>
          <w:color w:val="1A1A1A"/>
          <w:sz w:val="22"/>
        </w:rPr>
        <w:t xml:space="preserve">Determinar a prevalência de obesidade entre pacientes idosos hospitalizados ao longo de um ano no Brasil e compará-la com a prevalência observada cinco anos antes. </w:t>
      </w:r>
      <w:r w:rsidRPr="00CD5EEE">
        <w:rPr>
          <w:b/>
          <w:color w:val="1A1A1A"/>
          <w:sz w:val="22"/>
        </w:rPr>
        <w:t xml:space="preserve">Métodos: </w:t>
      </w:r>
      <w:r w:rsidRPr="00CD5EEE">
        <w:rPr>
          <w:color w:val="1A1A1A"/>
          <w:sz w:val="22"/>
        </w:rPr>
        <w:t xml:space="preserve">Estudo transversal e retrospectivo baseado em revisão de prontuários envolvendo adultos idosos hospitalizados entre 01/01 a 31/12/2019 e de 01/01 a 31/12/2025. Foram incluídos pacientes com idade ≥ 60 anos e excluídos aqueles que não tiveram registro de peso e altura no prontuário médico durante a hospitalização. A presença de obesidade foi avaliada e categorizada pelo cálculo do índice de massa corporal (IMC) por meio do Índice de Quetelet, e analisada </w:t>
      </w:r>
      <w:proofErr w:type="gramStart"/>
      <w:r w:rsidRPr="00CD5EEE">
        <w:rPr>
          <w:color w:val="1A1A1A"/>
          <w:sz w:val="22"/>
        </w:rPr>
        <w:t>a</w:t>
      </w:r>
      <w:proofErr w:type="gramEnd"/>
      <w:r w:rsidRPr="00CD5EEE">
        <w:rPr>
          <w:color w:val="1A1A1A"/>
          <w:sz w:val="22"/>
        </w:rPr>
        <w:t xml:space="preserve"> associação com tempo de internação, reinternação em 1 ano e passagem pela UTI. Foram utilizados modelos de regressão logística ajustados por idade, sexo, raça e diagnóstico principal de alta, enquanto os desfechos binários de reinternação em um ano e admissão em UTI foram avaliados por regressão de Poisson para </w:t>
      </w:r>
      <w:proofErr w:type="gramStart"/>
      <w:r w:rsidRPr="00CD5EEE">
        <w:rPr>
          <w:color w:val="1A1A1A"/>
          <w:sz w:val="22"/>
        </w:rPr>
        <w:t>a</w:t>
      </w:r>
      <w:proofErr w:type="gramEnd"/>
      <w:r w:rsidRPr="00CD5EEE">
        <w:rPr>
          <w:color w:val="1A1A1A"/>
          <w:sz w:val="22"/>
        </w:rPr>
        <w:t xml:space="preserve"> estimativa das Razões de Prevalência (RP). </w:t>
      </w:r>
      <w:r w:rsidRPr="00CD5EEE">
        <w:rPr>
          <w:b/>
          <w:color w:val="1A1A1A"/>
          <w:sz w:val="22"/>
        </w:rPr>
        <w:t xml:space="preserve">Resultados: </w:t>
      </w:r>
      <w:r w:rsidRPr="00CD5EEE">
        <w:rPr>
          <w:color w:val="1A1A1A"/>
          <w:sz w:val="22"/>
        </w:rPr>
        <w:t xml:space="preserve">Identificou-se 16.060 internações elegíveis, das quais 7.898 ocorreram em 2025. Os pacientes incluídos tinham idade média de 75.0 (68.0-84.0) ANOS, 52.2% eram do sexo feminino e 88.2% eram brancos. Entre os idosos hospitalizados, a prevalência de pacientes eutróficos em 2019 e 2025, respectivamente, foi de 36,4% e 36,1%, (OR 1,02; IC95% 0,94–1,11). A prevalência de obesidade grau 1 foi de 16,2% e 16,4% (OR 1,01; IC95% 0,90–1,12), e de obesidade grau 2 de 7,1% e 6,5% (OR 0,87; IC95% 0,74–1,01). Já </w:t>
      </w:r>
      <w:proofErr w:type="gramStart"/>
      <w:r w:rsidRPr="00CD5EEE">
        <w:rPr>
          <w:color w:val="1A1A1A"/>
          <w:sz w:val="22"/>
        </w:rPr>
        <w:t>a</w:t>
      </w:r>
      <w:proofErr w:type="gramEnd"/>
      <w:r w:rsidRPr="00CD5EEE">
        <w:rPr>
          <w:color w:val="1A1A1A"/>
          <w:sz w:val="22"/>
        </w:rPr>
        <w:t xml:space="preserve"> obesidade grau 3 foi observada em 4,1% dos pacientes em 2019 e em 3,0% em 2025 (OR 0,69; IC95% 0,56–0,86). Em 2025 os pacientes sem obesidade tiveram internação maior que 7 dias mais frequentemente que pacientes com obesidade [RP 1.1 (IC 95% 1.05 - 1.16)]. Não houve diferença na prevalência de readmissão em 1 ano, passagem pela UTI ou passagem pela hemodinâmica. </w:t>
      </w:r>
      <w:r w:rsidRPr="00CD5EEE">
        <w:rPr>
          <w:b/>
          <w:color w:val="1A1A1A"/>
          <w:sz w:val="22"/>
        </w:rPr>
        <w:t>Conclusão:</w:t>
      </w:r>
      <w:r w:rsidRPr="00CD5EEE">
        <w:rPr>
          <w:color w:val="1A1A1A"/>
          <w:sz w:val="22"/>
        </w:rPr>
        <w:t xml:space="preserve"> Apesar de se observar um aumento discreto na prevalência de obesidade grau 3 entre idosos no período avaliado, a presença de obesidade ainda está associada à menor tempo de internação nos pacientes idosos, podendo esse efeito fazer parte do paradoxo da obesidade no contexto hospitalar.</w:t>
      </w:r>
    </w:p>
    <w:p w:rsidR="000B5910" w:rsidRDefault="000B5910">
      <w:pPr>
        <w:pBdr>
          <w:bottom w:val="single" w:sz="4" w:space="2" w:color="808080"/>
        </w:pBdr>
        <w:spacing w:before="12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Pontificia Universidade Católica do Rio Grande do Sul</w:t>
      </w:r>
    </w:p>
    <w:p w:rsidR="000B5910" w:rsidRDefault="000B5910">
      <w:pPr>
        <w:sectPr w:rsidR="000B5910">
          <w:headerReference w:type="default" r:id="rId317"/>
          <w:footerReference w:type="default" r:id="rId318"/>
          <w:pgSz w:w="12240" w:h="15840"/>
          <w:pgMar w:top="1417" w:right="1417" w:bottom="1417" w:left="1417" w:header="680" w:footer="680" w:gutter="0"/>
          <w:cols w:space="720"/>
        </w:sectPr>
      </w:pPr>
    </w:p>
    <w:p w:rsidR="000B5910" w:rsidRPr="00CD5EEE" w:rsidRDefault="00057F5C">
      <w:pPr>
        <w:spacing w:before="80" w:line="252" w:lineRule="auto"/>
        <w:jc w:val="center"/>
        <w:rPr>
          <w:sz w:val="22"/>
        </w:rPr>
      </w:pPr>
      <w:r w:rsidRPr="00CD5EEE">
        <w:rPr>
          <w:b/>
          <w:color w:val="1A1A1A"/>
          <w:sz w:val="28"/>
        </w:rPr>
        <w:lastRenderedPageBreak/>
        <w:t>INVISIBILIDADE DA OBESIDADE COMO DOENÇA: ESTUDO COMPARATIVO DE REGISTROS EM PRONTUÁRIOS ELETRÔNICOS (2019 VS. 2025)</w:t>
      </w:r>
    </w:p>
    <w:p w:rsidR="000B5910" w:rsidRPr="00CD5EEE" w:rsidRDefault="00057F5C">
      <w:pPr>
        <w:spacing w:after="40" w:line="252" w:lineRule="auto"/>
        <w:jc w:val="right"/>
        <w:rPr>
          <w:szCs w:val="21"/>
        </w:rPr>
      </w:pPr>
      <w:r w:rsidRPr="00CD5EEE">
        <w:rPr>
          <w:color w:val="1A1A1A"/>
          <w:szCs w:val="21"/>
        </w:rPr>
        <w:t>Caroline Goergen</w:t>
      </w:r>
      <w:r w:rsidRPr="00CD5EEE">
        <w:rPr>
          <w:color w:val="1A1A1A"/>
          <w:szCs w:val="21"/>
          <w:vertAlign w:val="superscript"/>
        </w:rPr>
        <w:t>1</w:t>
      </w:r>
      <w:r w:rsidRPr="00CD5EEE">
        <w:rPr>
          <w:szCs w:val="21"/>
        </w:rPr>
        <w:br/>
      </w:r>
      <w:r w:rsidRPr="00CD5EEE">
        <w:rPr>
          <w:color w:val="1A1A1A"/>
          <w:szCs w:val="21"/>
        </w:rPr>
        <w:t>Alice Weiss Jung</w:t>
      </w:r>
      <w:r w:rsidRPr="00CD5EEE">
        <w:rPr>
          <w:color w:val="1A1A1A"/>
          <w:szCs w:val="21"/>
          <w:vertAlign w:val="superscript"/>
        </w:rPr>
        <w:t>1</w:t>
      </w:r>
      <w:r w:rsidRPr="00CD5EEE">
        <w:rPr>
          <w:szCs w:val="21"/>
        </w:rPr>
        <w:br/>
      </w:r>
      <w:r w:rsidRPr="00CD5EEE">
        <w:rPr>
          <w:color w:val="1A1A1A"/>
          <w:szCs w:val="21"/>
        </w:rPr>
        <w:t>Gabriela de Oliveira Centofante</w:t>
      </w:r>
      <w:r w:rsidRPr="00CD5EEE">
        <w:rPr>
          <w:color w:val="1A1A1A"/>
          <w:szCs w:val="21"/>
          <w:vertAlign w:val="superscript"/>
        </w:rPr>
        <w:t>1</w:t>
      </w:r>
      <w:r w:rsidRPr="00CD5EEE">
        <w:rPr>
          <w:szCs w:val="21"/>
        </w:rPr>
        <w:br/>
      </w:r>
      <w:r w:rsidRPr="00CD5EEE">
        <w:rPr>
          <w:color w:val="1A1A1A"/>
          <w:szCs w:val="21"/>
        </w:rPr>
        <w:t>Isabella Mancio</w:t>
      </w:r>
      <w:r w:rsidRPr="00CD5EEE">
        <w:rPr>
          <w:color w:val="1A1A1A"/>
          <w:szCs w:val="21"/>
          <w:vertAlign w:val="superscript"/>
        </w:rPr>
        <w:t>1</w:t>
      </w:r>
      <w:r w:rsidRPr="00CD5EEE">
        <w:rPr>
          <w:szCs w:val="21"/>
        </w:rPr>
        <w:br/>
      </w:r>
      <w:r w:rsidRPr="00CD5EEE">
        <w:rPr>
          <w:color w:val="1A1A1A"/>
          <w:szCs w:val="21"/>
        </w:rPr>
        <w:t>Laura Mattiello Ribeiro</w:t>
      </w:r>
      <w:r w:rsidRPr="00CD5EEE">
        <w:rPr>
          <w:color w:val="1A1A1A"/>
          <w:szCs w:val="21"/>
          <w:vertAlign w:val="superscript"/>
        </w:rPr>
        <w:t>1</w:t>
      </w:r>
      <w:r w:rsidRPr="00CD5EEE">
        <w:rPr>
          <w:szCs w:val="21"/>
        </w:rPr>
        <w:br/>
      </w:r>
      <w:r w:rsidRPr="00CD5EEE">
        <w:rPr>
          <w:color w:val="1A1A1A"/>
          <w:szCs w:val="21"/>
        </w:rPr>
        <w:t>Maria Eduarda Vieira Ferreira</w:t>
      </w:r>
      <w:r w:rsidRPr="00CD5EEE">
        <w:rPr>
          <w:color w:val="1A1A1A"/>
          <w:szCs w:val="21"/>
          <w:vertAlign w:val="superscript"/>
        </w:rPr>
        <w:t>1</w:t>
      </w:r>
      <w:r w:rsidRPr="00CD5EEE">
        <w:rPr>
          <w:szCs w:val="21"/>
        </w:rPr>
        <w:br/>
      </w:r>
      <w:r w:rsidRPr="00CD5EEE">
        <w:rPr>
          <w:color w:val="1A1A1A"/>
          <w:szCs w:val="21"/>
        </w:rPr>
        <w:t>Janine Alessi</w:t>
      </w:r>
      <w:r w:rsidRPr="00CD5EEE">
        <w:rPr>
          <w:color w:val="1A1A1A"/>
          <w:szCs w:val="21"/>
          <w:vertAlign w:val="superscript"/>
        </w:rPr>
        <w:t>1</w:t>
      </w:r>
    </w:p>
    <w:p w:rsidR="000B5910" w:rsidRPr="00CD5EEE" w:rsidRDefault="00057F5C">
      <w:pPr>
        <w:spacing w:before="200" w:after="100"/>
        <w:rPr>
          <w:sz w:val="22"/>
        </w:rPr>
      </w:pPr>
      <w:r w:rsidRPr="00CD5EEE">
        <w:rPr>
          <w:b/>
          <w:color w:val="1A1A1A"/>
          <w:sz w:val="22"/>
        </w:rPr>
        <w:t>RESUMO</w:t>
      </w:r>
    </w:p>
    <w:p w:rsidR="000B5910" w:rsidRPr="00CD5EEE" w:rsidRDefault="00057F5C">
      <w:pPr>
        <w:spacing w:after="80" w:line="264" w:lineRule="auto"/>
        <w:jc w:val="both"/>
        <w:rPr>
          <w:sz w:val="22"/>
        </w:rPr>
      </w:pPr>
      <w:r w:rsidRPr="00CD5EEE">
        <w:rPr>
          <w:b/>
          <w:color w:val="1A1A1A"/>
          <w:sz w:val="22"/>
        </w:rPr>
        <w:t xml:space="preserve">Introdução: </w:t>
      </w:r>
      <w:r w:rsidRPr="00CD5EEE">
        <w:rPr>
          <w:color w:val="1A1A1A"/>
          <w:sz w:val="22"/>
        </w:rPr>
        <w:t xml:space="preserve">Com prevalência crescente e ligada a 190 comorbidades, </w:t>
      </w:r>
      <w:proofErr w:type="gramStart"/>
      <w:r w:rsidRPr="00CD5EEE">
        <w:rPr>
          <w:color w:val="1A1A1A"/>
          <w:sz w:val="22"/>
        </w:rPr>
        <w:t>a</w:t>
      </w:r>
      <w:proofErr w:type="gramEnd"/>
      <w:r w:rsidRPr="00CD5EEE">
        <w:rPr>
          <w:color w:val="1A1A1A"/>
          <w:sz w:val="22"/>
        </w:rPr>
        <w:t xml:space="preserve"> obesidade é um desafio de saúde pública. Apesar de ser reconhecida como doença desde 2013 pela American Medical Association (AMA), sua plena aceitação como entidade clínica é dificultada pela normalização social do peso elevado e pelo estigma que ainda envolve </w:t>
      </w:r>
      <w:proofErr w:type="gramStart"/>
      <w:r w:rsidRPr="00CD5EEE">
        <w:rPr>
          <w:color w:val="1A1A1A"/>
          <w:sz w:val="22"/>
        </w:rPr>
        <w:t>a</w:t>
      </w:r>
      <w:proofErr w:type="gramEnd"/>
      <w:r w:rsidRPr="00CD5EEE">
        <w:rPr>
          <w:color w:val="1A1A1A"/>
          <w:sz w:val="22"/>
        </w:rPr>
        <w:t xml:space="preserve"> obesidade. </w:t>
      </w:r>
      <w:r w:rsidRPr="00CD5EEE">
        <w:rPr>
          <w:b/>
          <w:color w:val="1A1A1A"/>
          <w:sz w:val="22"/>
        </w:rPr>
        <w:t>Objetivo:</w:t>
      </w:r>
      <w:r w:rsidRPr="00CD5EEE">
        <w:rPr>
          <w:color w:val="1A1A1A"/>
          <w:sz w:val="22"/>
        </w:rPr>
        <w:t xml:space="preserve"> Avaliar o reconhecimento da obesidade como doença na lista de problemas de indivíduos hospitalizados em 2019 e 2025. </w:t>
      </w:r>
      <w:r w:rsidRPr="00CD5EEE">
        <w:rPr>
          <w:b/>
          <w:color w:val="1A1A1A"/>
          <w:sz w:val="22"/>
        </w:rPr>
        <w:t xml:space="preserve">Métodos: </w:t>
      </w:r>
      <w:r w:rsidRPr="00CD5EEE">
        <w:rPr>
          <w:color w:val="1A1A1A"/>
          <w:sz w:val="22"/>
        </w:rPr>
        <w:t xml:space="preserve">Estudo observacional retrospectivo baseado em revisão de prontuários eletrônicos, avaliando o registro de obesidade na lista de problemas em evolução médica durante hospitalização no período de 01/01 a 31/12/2019 e 01/01 e 31/12/2025. Foram incluídos adultos ≥18 anos com IMC ≥ 29,9 pelo Índice de Quetelet, e excluídos aqueles sem registro de peso e altura em prontuário. O registro formal de obesidade foi avaliado como variável dicotômica (sim/não), definida pela descrição da presença de obesidade documentada no prontuário em qualquer momento entre </w:t>
      </w:r>
      <w:proofErr w:type="gramStart"/>
      <w:r w:rsidRPr="00CD5EEE">
        <w:rPr>
          <w:color w:val="1A1A1A"/>
          <w:sz w:val="22"/>
        </w:rPr>
        <w:t>a</w:t>
      </w:r>
      <w:proofErr w:type="gramEnd"/>
      <w:r w:rsidRPr="00CD5EEE">
        <w:rPr>
          <w:color w:val="1A1A1A"/>
          <w:sz w:val="22"/>
        </w:rPr>
        <w:t xml:space="preserve"> admissão e a alta hospitalar. As Razões de Prevalência (RP) entre 2019 e 2025 foram calculadas via regressão de Poisson com variância robusta, ajustadas por variáveis demográficas (idade, sexo, cor) e especialidade responsável pela internação. </w:t>
      </w:r>
      <w:r w:rsidRPr="00CD5EEE">
        <w:rPr>
          <w:b/>
          <w:color w:val="1A1A1A"/>
          <w:sz w:val="22"/>
        </w:rPr>
        <w:t xml:space="preserve">Resultados: </w:t>
      </w:r>
      <w:r w:rsidRPr="00CD5EEE">
        <w:rPr>
          <w:color w:val="1A1A1A"/>
          <w:sz w:val="22"/>
        </w:rPr>
        <w:t xml:space="preserve">Foram selecionados aleatoriamente 2668 participantes conforme cálculo amostral, sendo 1334 hospitalizados em 2019 e 1334 em 2025. Os participantes tiveram idade média de 60,8 ± 17,3 anos, 61,6% eram homens, 86,9% brancos, com IMC médio de 35,8 ± 5,7 Kg/m². Destes, 55,6% tinham obesidade grau 1; 26,2% obesidade grau 2 e 18,2% obesidade grau 3. De todos os participantes incluídos, apenas 8,1% tinham obesidade na lista de problemas em 2019, comparado a 7,6% em 2025 (RP 0,91; 95% CI 0,76–1,08). Conforme o registro em prontuário, após </w:t>
      </w:r>
      <w:proofErr w:type="gramStart"/>
      <w:r w:rsidRPr="00CD5EEE">
        <w:rPr>
          <w:color w:val="1A1A1A"/>
          <w:sz w:val="22"/>
        </w:rPr>
        <w:t>a</w:t>
      </w:r>
      <w:proofErr w:type="gramEnd"/>
      <w:r w:rsidRPr="00CD5EEE">
        <w:rPr>
          <w:color w:val="1A1A1A"/>
          <w:sz w:val="22"/>
        </w:rPr>
        <w:t xml:space="preserve"> alta hospitalar, apenas 1,5% dos pacientes receberam orientação de dieta ou mudança no estilo de vida, e apenas 1,8% receberam encaminhamento para endocrinologista ou nutricionista, sem diferença entre os anos (RP 1,34; 95% CI 0,72–2,5 e RP 1,2; 95% CI 0,63–2,1 para orientações e encaminhamento, respectivamente). </w:t>
      </w:r>
      <w:r w:rsidRPr="00CD5EEE">
        <w:rPr>
          <w:b/>
          <w:color w:val="1A1A1A"/>
          <w:sz w:val="22"/>
        </w:rPr>
        <w:t xml:space="preserve">Conclusão: </w:t>
      </w:r>
      <w:r w:rsidRPr="00CD5EEE">
        <w:rPr>
          <w:color w:val="1A1A1A"/>
          <w:sz w:val="22"/>
        </w:rPr>
        <w:t>Apesar de mais de 10 anos terem se passado desde o reconhecimento como doença, esse estudo revelou que o registro da obesidade como doença em prontuários permanece estagnado entre 2019 e 2025. Isso evidencia lacunas persistentes no reconhecimento oportuno, no manejo adequado e na mitigação do estigma associado à obesidade.</w:t>
      </w:r>
    </w:p>
    <w:p w:rsidR="000B5910" w:rsidRDefault="000B5910">
      <w:pPr>
        <w:pBdr>
          <w:bottom w:val="single" w:sz="4" w:space="2" w:color="808080"/>
        </w:pBdr>
        <w:spacing w:before="12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Pontifícia Universidade Católica do Rio Grande do Sul</w:t>
      </w:r>
    </w:p>
    <w:p w:rsidR="000B5910" w:rsidRDefault="000B5910">
      <w:pPr>
        <w:sectPr w:rsidR="000B5910">
          <w:headerReference w:type="default" r:id="rId319"/>
          <w:footerReference w:type="default" r:id="rId32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EFICÁCIA E SEGURANÇA DE AGONISTAS DO RECEPTOR DE GLP-1 E DO COAGONISTA GLP-1/GIP NO TRATAMENTO DA OBESIDADE: UMA REVISÃO SISTEMÁTICA</w:t>
      </w:r>
    </w:p>
    <w:p w:rsidR="000B5910" w:rsidRPr="00CD5EEE" w:rsidRDefault="00057F5C">
      <w:pPr>
        <w:spacing w:after="40" w:line="252" w:lineRule="auto"/>
        <w:jc w:val="right"/>
        <w:rPr>
          <w:szCs w:val="21"/>
        </w:rPr>
      </w:pPr>
      <w:r w:rsidRPr="00CD5EEE">
        <w:rPr>
          <w:color w:val="1A1A1A"/>
          <w:szCs w:val="21"/>
        </w:rPr>
        <w:t>Fernanda Camila Bassetto</w:t>
      </w:r>
      <w:r w:rsidRPr="00CD5EEE">
        <w:rPr>
          <w:color w:val="1A1A1A"/>
          <w:szCs w:val="21"/>
          <w:vertAlign w:val="superscript"/>
        </w:rPr>
        <w:t>1</w:t>
      </w:r>
      <w:r w:rsidRPr="00CD5EEE">
        <w:rPr>
          <w:szCs w:val="21"/>
        </w:rPr>
        <w:br/>
      </w:r>
      <w:r w:rsidRPr="00CD5EEE">
        <w:rPr>
          <w:color w:val="1A1A1A"/>
          <w:szCs w:val="21"/>
        </w:rPr>
        <w:t>Nândrea da Silva Vestefal</w:t>
      </w:r>
      <w:r w:rsidRPr="00CD5EEE">
        <w:rPr>
          <w:color w:val="1A1A1A"/>
          <w:szCs w:val="21"/>
          <w:vertAlign w:val="superscript"/>
        </w:rPr>
        <w:t>1</w:t>
      </w:r>
      <w:r w:rsidRPr="00CD5EEE">
        <w:rPr>
          <w:szCs w:val="21"/>
        </w:rPr>
        <w:br/>
      </w:r>
      <w:r w:rsidRPr="00CD5EEE">
        <w:rPr>
          <w:color w:val="1A1A1A"/>
          <w:szCs w:val="21"/>
        </w:rPr>
        <w:t>Micheline Márcia Igino da Silva</w:t>
      </w:r>
      <w:r w:rsidRPr="00CD5EEE">
        <w:rPr>
          <w:color w:val="1A1A1A"/>
          <w:szCs w:val="21"/>
          <w:vertAlign w:val="superscript"/>
        </w:rPr>
        <w:t>1</w:t>
      </w:r>
      <w:r w:rsidRPr="00CD5EEE">
        <w:rPr>
          <w:szCs w:val="21"/>
        </w:rPr>
        <w:br/>
      </w:r>
      <w:r w:rsidRPr="00CD5EEE">
        <w:rPr>
          <w:color w:val="1A1A1A"/>
          <w:szCs w:val="21"/>
        </w:rPr>
        <w:t>João Lucas Costa Perfeito</w:t>
      </w:r>
      <w:r w:rsidRPr="00CD5EEE">
        <w:rPr>
          <w:color w:val="1A1A1A"/>
          <w:szCs w:val="21"/>
          <w:vertAlign w:val="superscript"/>
        </w:rPr>
        <w:t>1</w:t>
      </w:r>
      <w:r w:rsidRPr="00CD5EEE">
        <w:rPr>
          <w:szCs w:val="21"/>
        </w:rPr>
        <w:br/>
      </w:r>
      <w:r w:rsidRPr="00CD5EEE">
        <w:rPr>
          <w:color w:val="1A1A1A"/>
          <w:szCs w:val="21"/>
        </w:rPr>
        <w:t>Samanta Feliciano Nhaga</w:t>
      </w:r>
      <w:r w:rsidRPr="00CD5EEE">
        <w:rPr>
          <w:color w:val="1A1A1A"/>
          <w:szCs w:val="21"/>
          <w:vertAlign w:val="superscript"/>
        </w:rPr>
        <w:t>1</w:t>
      </w:r>
      <w:r w:rsidRPr="00CD5EEE">
        <w:rPr>
          <w:szCs w:val="21"/>
        </w:rPr>
        <w:br/>
      </w:r>
      <w:r w:rsidRPr="00CD5EEE">
        <w:rPr>
          <w:color w:val="1A1A1A"/>
          <w:szCs w:val="21"/>
        </w:rPr>
        <w:t>André Luiz da Silva</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Introdução:</w:t>
      </w:r>
      <w:r w:rsidRPr="00CD5EEE">
        <w:rPr>
          <w:color w:val="1A1A1A"/>
          <w:sz w:val="22"/>
        </w:rPr>
        <w:t xml:space="preserve"> A obesidade é uma doença crônica complexa e fator de risco central para doenças cardiovasculares e diabetes tipo 2. Recentemente, o advento dos agonistas do receptor de GLP-1 (GLP-1 RA) e dos coagonistas (GLP-1/GIP) revolucionou o manejo farmacológico, tornando necessária a síntese das evidências sobre seu impacto clínico. </w:t>
      </w:r>
      <w:r w:rsidRPr="00CD5EEE">
        <w:rPr>
          <w:b/>
          <w:color w:val="1A1A1A"/>
          <w:sz w:val="22"/>
        </w:rPr>
        <w:t>Objetivo:</w:t>
      </w:r>
      <w:r w:rsidRPr="00CD5EEE">
        <w:rPr>
          <w:color w:val="1A1A1A"/>
          <w:sz w:val="22"/>
        </w:rPr>
        <w:t xml:space="preserve"> Avaliar a eficácia (redução ponderal e parâmetros metabólicos) e o perfil de segurança dos GLP-1 RAs e </w:t>
      </w:r>
      <w:proofErr w:type="gramStart"/>
      <w:r w:rsidRPr="00CD5EEE">
        <w:rPr>
          <w:color w:val="1A1A1A"/>
          <w:sz w:val="22"/>
        </w:rPr>
        <w:t>do</w:t>
      </w:r>
      <w:proofErr w:type="gramEnd"/>
      <w:r w:rsidRPr="00CD5EEE">
        <w:rPr>
          <w:color w:val="1A1A1A"/>
          <w:sz w:val="22"/>
        </w:rPr>
        <w:t xml:space="preserve"> duplo agonista GLP-1/GIP em adultos com obesidade ou sobrepeso com comorbidades. </w:t>
      </w:r>
      <w:r w:rsidRPr="00CD5EEE">
        <w:rPr>
          <w:b/>
          <w:color w:val="1A1A1A"/>
          <w:sz w:val="22"/>
        </w:rPr>
        <w:t>Métodos:</w:t>
      </w:r>
      <w:r w:rsidRPr="00CD5EEE">
        <w:rPr>
          <w:color w:val="1A1A1A"/>
          <w:sz w:val="22"/>
        </w:rPr>
        <w:t xml:space="preserve"> Revisão sistemática conduzida conforme recomendações PRISMA. A busca foi realizada nas bases PubMed, Embase e Cochrane, abrangendo o período de janeiro de 2015 a março de 2026. </w:t>
      </w:r>
      <w:proofErr w:type="gramStart"/>
      <w:r w:rsidRPr="00CD5EEE">
        <w:rPr>
          <w:color w:val="1A1A1A"/>
          <w:sz w:val="22"/>
        </w:rPr>
        <w:t>A</w:t>
      </w:r>
      <w:proofErr w:type="gramEnd"/>
      <w:r w:rsidRPr="00CD5EEE">
        <w:rPr>
          <w:color w:val="1A1A1A"/>
          <w:sz w:val="22"/>
        </w:rPr>
        <w:t xml:space="preserve"> estratégia de seleção incluiu a triagem de títulos e resumos, seguida da análise na íntegra de ensaios clínicos randomizados (ECRs) de fase 3 em adultos (IMC ≥ 30 kg/m² ou ≥ 27 kg/m² com comorbidades). Foram incluídos 15 estudos primários que avaliaram fármacos como semaglutida e tirzepatida. O risco de viés foi analisado via Cochrane RoB 2.0. </w:t>
      </w:r>
      <w:r w:rsidRPr="00CD5EEE">
        <w:rPr>
          <w:b/>
          <w:color w:val="1A1A1A"/>
          <w:sz w:val="22"/>
        </w:rPr>
        <w:t xml:space="preserve">Resultados: </w:t>
      </w:r>
      <w:r w:rsidRPr="00CD5EEE">
        <w:rPr>
          <w:color w:val="1A1A1A"/>
          <w:sz w:val="22"/>
        </w:rPr>
        <w:t xml:space="preserve">Os dados dos 15 ECRs demonstram consistentemente a superioridade dessas terapias frente ao placebo. A semaglutida 2,4 mg/semanal promoveu redução ponderal média de 14,9%, enquanto a tirzepatida (15 mg) alcançou reduções de até 22,5%. Observou-se melhora significativa na hemoglobina glicada (HbA1c), pressão arterial sistólica e perfil lipídico. Em termos de segurança, os eventos adversos predominantes são gastrointestinais, geralmente leves, transitórios e dose-dependentes. Grandes estudos de desfechos cardiovasculares (como o SELECT) não demonstraram aumento de risco, sugerindo benefício protetor em populações de alto risco. </w:t>
      </w:r>
      <w:r w:rsidRPr="00CD5EEE">
        <w:rPr>
          <w:b/>
          <w:color w:val="1A1A1A"/>
          <w:sz w:val="22"/>
        </w:rPr>
        <w:t xml:space="preserve">Conclusão: </w:t>
      </w:r>
      <w:r w:rsidRPr="00CD5EEE">
        <w:rPr>
          <w:color w:val="1A1A1A"/>
          <w:sz w:val="22"/>
        </w:rPr>
        <w:t>Os GLP-1 RAs e os agonistas de duplo receptor são estratégias altamente eficazes e seguras. Além de perdas ponderais expressivas, conferem benefícios metabólicos robustos, consolidando-se como pilares no tratamento moderno da obesidade.</w:t>
      </w:r>
    </w:p>
    <w:p w:rsidR="000B5910" w:rsidRDefault="000B5910">
      <w:pPr>
        <w:pBdr>
          <w:bottom w:val="single" w:sz="4" w:space="2" w:color="808080"/>
        </w:pBdr>
        <w:spacing w:before="160" w:after="40"/>
      </w:pPr>
    </w:p>
    <w:p w:rsidR="000B5910" w:rsidRDefault="00057F5C">
      <w:pPr>
        <w:spacing w:after="0" w:line="252" w:lineRule="auto"/>
        <w:rPr>
          <w:sz w:val="16"/>
          <w:szCs w:val="16"/>
        </w:rPr>
      </w:pPr>
      <w:r>
        <w:rPr>
          <w:color w:val="595959"/>
          <w:sz w:val="16"/>
          <w:szCs w:val="16"/>
          <w:vertAlign w:val="superscript"/>
        </w:rPr>
        <w:t>1</w:t>
      </w:r>
      <w:r>
        <w:rPr>
          <w:color w:val="595959"/>
          <w:sz w:val="16"/>
          <w:szCs w:val="16"/>
        </w:rPr>
        <w:t xml:space="preserve"> Universidade Federal de Ciências e Saúde de Porto Alegre</w:t>
      </w:r>
    </w:p>
    <w:p w:rsidR="000B5910" w:rsidRDefault="000B5910">
      <w:pPr>
        <w:sectPr w:rsidR="000B5910">
          <w:headerReference w:type="default" r:id="rId321"/>
          <w:footerReference w:type="default" r:id="rId32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DESIGUALDADES REGIONAIS NA REALIZAÇÃO DE CIRURGIA BARIÁTRICA PELO SUS NO BRASIL: ANÁLISE TEMPORAL DE 2015 A 2025</w:t>
      </w:r>
    </w:p>
    <w:p w:rsidR="000B5910" w:rsidRPr="00CD5EEE" w:rsidRDefault="00057F5C">
      <w:pPr>
        <w:spacing w:after="40" w:line="252" w:lineRule="auto"/>
        <w:jc w:val="right"/>
        <w:rPr>
          <w:szCs w:val="21"/>
        </w:rPr>
      </w:pPr>
      <w:r w:rsidRPr="00CD5EEE">
        <w:rPr>
          <w:color w:val="1A1A1A"/>
          <w:szCs w:val="21"/>
        </w:rPr>
        <w:t>Juliane Thibes Kreisig</w:t>
      </w:r>
      <w:r w:rsidRPr="00CD5EEE">
        <w:rPr>
          <w:color w:val="1A1A1A"/>
          <w:szCs w:val="21"/>
          <w:vertAlign w:val="superscript"/>
        </w:rPr>
        <w:t>1</w:t>
      </w:r>
      <w:r w:rsidRPr="00CD5EEE">
        <w:rPr>
          <w:szCs w:val="21"/>
        </w:rPr>
        <w:br/>
      </w:r>
      <w:r w:rsidRPr="00CD5EEE">
        <w:rPr>
          <w:color w:val="1A1A1A"/>
          <w:szCs w:val="21"/>
        </w:rPr>
        <w:t>Laryssa Rodrigues Correa</w:t>
      </w:r>
      <w:r w:rsidRPr="00CD5EEE">
        <w:rPr>
          <w:color w:val="1A1A1A"/>
          <w:szCs w:val="21"/>
          <w:vertAlign w:val="superscript"/>
        </w:rPr>
        <w:t>1</w:t>
      </w:r>
      <w:r w:rsidRPr="00CD5EEE">
        <w:rPr>
          <w:szCs w:val="21"/>
        </w:rPr>
        <w:br/>
      </w:r>
      <w:r w:rsidRPr="00CD5EEE">
        <w:rPr>
          <w:color w:val="1A1A1A"/>
          <w:szCs w:val="21"/>
        </w:rPr>
        <w:t>Herica Atayde de Abreu Tocchetto</w:t>
      </w:r>
      <w:r w:rsidRPr="00CD5EEE">
        <w:rPr>
          <w:color w:val="1A1A1A"/>
          <w:szCs w:val="21"/>
          <w:vertAlign w:val="superscript"/>
        </w:rPr>
        <w:t>1</w:t>
      </w:r>
      <w:r w:rsidRPr="00CD5EEE">
        <w:rPr>
          <w:szCs w:val="21"/>
        </w:rPr>
        <w:br/>
      </w:r>
      <w:r w:rsidRPr="00CD5EEE">
        <w:rPr>
          <w:color w:val="1A1A1A"/>
          <w:szCs w:val="21"/>
        </w:rPr>
        <w:t>Fernanda Camila Bassetto</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 xml:space="preserve">Introdução: </w:t>
      </w:r>
      <w:r w:rsidRPr="00CD5EEE">
        <w:rPr>
          <w:color w:val="1A1A1A"/>
          <w:sz w:val="22"/>
        </w:rPr>
        <w:t xml:space="preserve">A obesidade constitui importante problema de saúde pública, associada </w:t>
      </w:r>
      <w:proofErr w:type="gramStart"/>
      <w:r w:rsidRPr="00CD5EEE">
        <w:rPr>
          <w:color w:val="1A1A1A"/>
          <w:sz w:val="22"/>
        </w:rPr>
        <w:t>a</w:t>
      </w:r>
      <w:proofErr w:type="gramEnd"/>
      <w:r w:rsidRPr="00CD5EEE">
        <w:rPr>
          <w:color w:val="1A1A1A"/>
          <w:sz w:val="22"/>
        </w:rPr>
        <w:t xml:space="preserve"> elevada morbimortalidade e impacto crescente sobre os sistemas de saúde. No Brasil, a cirurgia bariátrica é uma estratégia terapêutica eficaz em casos selecionados, porém sua oferta no Sistema Único de Saúde (SUS) ocorre de forma desigual entre as regiões. </w:t>
      </w:r>
      <w:r w:rsidRPr="00CD5EEE">
        <w:rPr>
          <w:b/>
          <w:color w:val="1A1A1A"/>
          <w:sz w:val="22"/>
        </w:rPr>
        <w:t xml:space="preserve">Objetivo: </w:t>
      </w:r>
      <w:r w:rsidRPr="00CD5EEE">
        <w:rPr>
          <w:color w:val="1A1A1A"/>
          <w:sz w:val="22"/>
        </w:rPr>
        <w:t xml:space="preserve">Este estudo teve como objetivo analisar a distribuição regional e a tendência temporal das cirurgias bariátricas realizadas pelo SUS no Brasil entre 2015 e 2025. </w:t>
      </w:r>
      <w:r w:rsidRPr="00CD5EEE">
        <w:rPr>
          <w:b/>
          <w:color w:val="1A1A1A"/>
          <w:sz w:val="22"/>
        </w:rPr>
        <w:t xml:space="preserve">Métodos: </w:t>
      </w:r>
      <w:r w:rsidRPr="00CD5EEE">
        <w:rPr>
          <w:color w:val="1A1A1A"/>
          <w:sz w:val="22"/>
        </w:rPr>
        <w:t xml:space="preserve">Trata-se de um estudo ecológico retrospectivo, com dados secundários obtidos do DATASUS, na base de produção hospitalar do SUS por local de internação. Foram incluídos os procedimentos bariátricos gastroplastia com derivação intestinal, gastroplastia vertical com banda e gastrectomia vertical em manga/sleeve, no período analisado. Foram avaliadas as frequências absolutas por região e ano de processamento, com análise descritiva da distribuição regional e da variação temporal dos procedimentos. </w:t>
      </w:r>
      <w:r w:rsidRPr="00CD5EEE">
        <w:rPr>
          <w:b/>
          <w:color w:val="1A1A1A"/>
          <w:sz w:val="22"/>
        </w:rPr>
        <w:t xml:space="preserve">Resultados: </w:t>
      </w:r>
      <w:r w:rsidRPr="00CD5EEE">
        <w:rPr>
          <w:color w:val="1A1A1A"/>
          <w:sz w:val="22"/>
        </w:rPr>
        <w:t xml:space="preserve">No período, foram registrados 72.180 procedimentos bariátricos no SUS. Observou-se importante concentração regional no Sul, responsável por 56,4% das cirurgias, seguido pelo Sudeste, com 37,5%, enquanto Nordeste, Centro-Oeste e Norte apresentaram participação de 4,1%, 1,5% e 0,4%, respectivamente. Houve crescimento progressivo entre 2015 (7.501) e 2019 (11.735), com aumento de 56,4%, seguido de queda acentuada em 2020 (3.200) e 2021 (2.008), representando redução de 82,9% em relação ao pico. A partir de 2022, observou-se recuperação parcial, com 4.008 procedimentos, chegando a 5.012 em 2024, sem retorno aos níveis pré-pandemia. Comparando-se os períodos de 2015 a 2019 e 2020 a 2025, houve redução da participação relativa do Sul (63,3% para 42,0%) e aumento do Sudeste (51,5% no período mais recente), indicando mudança no eixo de concentração dos procedimentos. Conclui-se que a realização de cirurgia bariátrica pelo SUS apresenta marcadas desigualdades regionais, com forte concentração inicial no Sul e participação reduzida de Norte e Nordeste. Além disso, houve impacto significativo no período pandêmico, com recuperação parcial nos anos subsequentes. </w:t>
      </w:r>
      <w:r w:rsidRPr="00CD5EEE">
        <w:rPr>
          <w:b/>
          <w:color w:val="1A1A1A"/>
          <w:sz w:val="22"/>
        </w:rPr>
        <w:t xml:space="preserve">Conclusão: </w:t>
      </w:r>
      <w:r w:rsidRPr="00CD5EEE">
        <w:rPr>
          <w:color w:val="1A1A1A"/>
          <w:sz w:val="22"/>
        </w:rPr>
        <w:t>Esses achados reforçam a necessidade de políticas públicas voltadas à ampliação e descentralização do acesso ao tratamento cirúrgico da obesidade no sistema público.</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Universidade Federal de Ciências da Saúde de Porto Alegre RS</w:t>
      </w:r>
    </w:p>
    <w:p w:rsidR="000B5910" w:rsidRDefault="000B5910">
      <w:pPr>
        <w:sectPr w:rsidR="000B5910">
          <w:headerReference w:type="default" r:id="rId323"/>
          <w:footerReference w:type="default" r:id="rId324"/>
          <w:pgSz w:w="12240" w:h="15840"/>
          <w:pgMar w:top="1417" w:right="1417" w:bottom="1417" w:left="1417" w:header="680" w:footer="680" w:gutter="0"/>
          <w:cols w:space="720"/>
        </w:sectPr>
      </w:pPr>
    </w:p>
    <w:p w:rsidR="000B5910" w:rsidRPr="00CD5EEE" w:rsidRDefault="00057F5C">
      <w:pPr>
        <w:spacing w:before="80" w:line="252" w:lineRule="auto"/>
        <w:jc w:val="center"/>
        <w:rPr>
          <w:sz w:val="28"/>
          <w:szCs w:val="28"/>
        </w:rPr>
      </w:pPr>
      <w:r w:rsidRPr="00CD5EEE">
        <w:rPr>
          <w:b/>
          <w:color w:val="1A1A1A"/>
          <w:sz w:val="28"/>
          <w:szCs w:val="28"/>
        </w:rPr>
        <w:lastRenderedPageBreak/>
        <w:t>DISPARIDADES E RETOMADA PÓS-PANDÊMICA: ANÁLISE DAS CIRURGIAS BARIÁTRICAS E INTERNAÇÕES POR OBESIDADE NO SUS NA REGIÃO SUL DO BRASIL DE 2015 A 2025</w:t>
      </w:r>
    </w:p>
    <w:p w:rsidR="000B5910" w:rsidRPr="00CD5EEE" w:rsidRDefault="00057F5C">
      <w:pPr>
        <w:spacing w:after="40" w:line="252" w:lineRule="auto"/>
        <w:jc w:val="right"/>
        <w:rPr>
          <w:szCs w:val="21"/>
        </w:rPr>
      </w:pPr>
      <w:r w:rsidRPr="00CD5EEE">
        <w:rPr>
          <w:color w:val="1A1A1A"/>
          <w:szCs w:val="21"/>
        </w:rPr>
        <w:t>Luiza de Oliveira Magalhães</w:t>
      </w:r>
      <w:r w:rsidRPr="00CD5EEE">
        <w:rPr>
          <w:color w:val="1A1A1A"/>
          <w:szCs w:val="21"/>
          <w:vertAlign w:val="superscript"/>
        </w:rPr>
        <w:t>1</w:t>
      </w:r>
      <w:r w:rsidRPr="00CD5EEE">
        <w:rPr>
          <w:szCs w:val="21"/>
        </w:rPr>
        <w:br/>
      </w:r>
      <w:r w:rsidRPr="00CD5EEE">
        <w:rPr>
          <w:color w:val="1A1A1A"/>
          <w:szCs w:val="21"/>
        </w:rPr>
        <w:t>Camilly Vitória Cansan Loss</w:t>
      </w:r>
      <w:r w:rsidRPr="00CD5EEE">
        <w:rPr>
          <w:color w:val="1A1A1A"/>
          <w:szCs w:val="21"/>
          <w:vertAlign w:val="superscript"/>
        </w:rPr>
        <w:t>1</w:t>
      </w:r>
      <w:r w:rsidRPr="00CD5EEE">
        <w:rPr>
          <w:szCs w:val="21"/>
        </w:rPr>
        <w:br/>
      </w:r>
      <w:r w:rsidRPr="00CD5EEE">
        <w:rPr>
          <w:color w:val="1A1A1A"/>
          <w:szCs w:val="21"/>
        </w:rPr>
        <w:t>Livia Eichenberg Pittas do Canto</w:t>
      </w:r>
      <w:r w:rsidRPr="00CD5EEE">
        <w:rPr>
          <w:color w:val="1A1A1A"/>
          <w:szCs w:val="21"/>
          <w:vertAlign w:val="superscript"/>
        </w:rPr>
        <w:t>1</w:t>
      </w:r>
      <w:r w:rsidRPr="00CD5EEE">
        <w:rPr>
          <w:szCs w:val="21"/>
        </w:rPr>
        <w:br/>
      </w:r>
      <w:r w:rsidRPr="00CD5EEE">
        <w:rPr>
          <w:color w:val="1A1A1A"/>
          <w:szCs w:val="21"/>
        </w:rPr>
        <w:t>Eduarda Oliveira Santayana de Lima</w:t>
      </w:r>
      <w:r w:rsidRPr="00CD5EEE">
        <w:rPr>
          <w:color w:val="1A1A1A"/>
          <w:szCs w:val="21"/>
          <w:vertAlign w:val="superscript"/>
        </w:rPr>
        <w:t>1</w:t>
      </w:r>
      <w:r w:rsidRPr="00CD5EEE">
        <w:rPr>
          <w:szCs w:val="21"/>
        </w:rPr>
        <w:br/>
      </w:r>
      <w:r w:rsidRPr="00CD5EEE">
        <w:rPr>
          <w:color w:val="1A1A1A"/>
          <w:szCs w:val="21"/>
        </w:rPr>
        <w:t>Fernando Keizo Seki de Lima</w:t>
      </w:r>
      <w:r w:rsidRPr="00CD5EEE">
        <w:rPr>
          <w:color w:val="1A1A1A"/>
          <w:szCs w:val="21"/>
          <w:vertAlign w:val="superscript"/>
        </w:rPr>
        <w:t>2</w:t>
      </w:r>
    </w:p>
    <w:p w:rsidR="000B5910" w:rsidRPr="00CD5EEE" w:rsidRDefault="00057F5C">
      <w:pPr>
        <w:spacing w:before="200" w:after="100"/>
        <w:rPr>
          <w:sz w:val="22"/>
        </w:rPr>
      </w:pPr>
      <w:r w:rsidRPr="00CD5EEE">
        <w:rPr>
          <w:b/>
          <w:color w:val="1A1A1A"/>
          <w:sz w:val="22"/>
        </w:rPr>
        <w:t>RESUMO</w:t>
      </w:r>
    </w:p>
    <w:p w:rsidR="000B5910" w:rsidRPr="00CD5EEE" w:rsidRDefault="00057F5C">
      <w:pPr>
        <w:spacing w:after="80" w:line="264" w:lineRule="auto"/>
        <w:jc w:val="both"/>
        <w:rPr>
          <w:sz w:val="22"/>
        </w:rPr>
      </w:pPr>
      <w:r w:rsidRPr="00CD5EEE">
        <w:rPr>
          <w:b/>
          <w:color w:val="1A1A1A"/>
          <w:sz w:val="22"/>
        </w:rPr>
        <w:t>Introdução:</w:t>
      </w:r>
      <w:r w:rsidRPr="00CD5EEE">
        <w:rPr>
          <w:color w:val="1A1A1A"/>
          <w:sz w:val="22"/>
        </w:rPr>
        <w:t xml:space="preserve"> A obesidade é uma doença crônica multifatorial de elevada morbimortalidade. Em casos refratários ao tratamento clínico, a cirurgia bariátrica pode ser um tratamento eficaz. Entretanto, a relação entre hospitalizações por obesidade e oferta desse procedimento no SUS ainda é pouco explorada. </w:t>
      </w:r>
      <w:r w:rsidRPr="00CD5EEE">
        <w:rPr>
          <w:b/>
          <w:color w:val="1A1A1A"/>
          <w:sz w:val="22"/>
        </w:rPr>
        <w:t>Objetivo</w:t>
      </w:r>
      <w:r w:rsidRPr="00CD5EEE">
        <w:rPr>
          <w:color w:val="1A1A1A"/>
          <w:sz w:val="22"/>
        </w:rPr>
        <w:t xml:space="preserve">: Analisar tendências temporais e disparidades das internações por obesidade e da realização de cirurgias bariátricas na Região Sul do Brasil de 2015 a 2025. </w:t>
      </w:r>
      <w:r w:rsidRPr="00CD5EEE">
        <w:rPr>
          <w:b/>
          <w:color w:val="1A1A1A"/>
          <w:sz w:val="22"/>
        </w:rPr>
        <w:t>Métodos:</w:t>
      </w:r>
      <w:r w:rsidRPr="00CD5EEE">
        <w:rPr>
          <w:color w:val="1A1A1A"/>
          <w:sz w:val="22"/>
        </w:rPr>
        <w:t xml:space="preserve"> Estudo epidemiológico retrospectivo descritivo utilizando dados obtidos no Sistema de Informações Hospitalares (SIH/DATASUS). Calculou-se a Taxa de Conversão Cirúrgica (TCC) - razão entre o total de procedimentos bariátricos e internações por obesidade (CID-10: E66) - nos estados da Região Sul, entre 2015 e 2025. Foram incluídos os procedimentos: Gastroplastia com derivação intestinal, Gastroplastia vertical com banda, Gastrectomia vertical em manga, Gastrectomia com/sem desvio duodenal e Cirurgia bariátrica por videolaparoscopia. </w:t>
      </w:r>
      <w:r w:rsidRPr="00CD5EEE">
        <w:rPr>
          <w:b/>
          <w:color w:val="1A1A1A"/>
          <w:sz w:val="22"/>
        </w:rPr>
        <w:t>Resultados:</w:t>
      </w:r>
      <w:r w:rsidRPr="00CD5EEE">
        <w:rPr>
          <w:color w:val="1A1A1A"/>
          <w:sz w:val="22"/>
        </w:rPr>
        <w:t xml:space="preserve"> Entre 2015 e 2025 foram registradas 55.817 internações por obesidade e 47.281 procedimentos de cirurgia bariátrica na região Sul do Brasil. O Paraná (PR) concentrou a maioria das internações e dos procedimentos, e demonstrou a maior correlação diagnóstica-terapêutica, com uma TCC de 91,2% (37.297 cirurgias para 40.872 internações). Santa Catarina (SC) e Rio Grande do Sul (RS) apresentaram conversões inferiores (72,1% e 61,2%, respectivamente), evidenciando a persistência de gargalos de acesso cirúrgico. Temporalmente, a região atingiu ápice de produtividade em 2019 (8.266 cirurgias), sofrendo drástica retração na pandemia de COVID-19, com queda para 745 procedimentos em 2021. Em 2025, o sistema ainda encontrava-se em recuperação, operando a 59,6% da sua capacidade produtiva pré-pandêmica. O processo de retomada tem sido sustentado pela consolidação da videolaparoscopia no SUS, técnica que foi isoladamente responsável por 3.029 de 4.930 cirurgias bariátricas no último ano analisado. </w:t>
      </w:r>
      <w:r w:rsidRPr="00CD5EEE">
        <w:rPr>
          <w:b/>
          <w:color w:val="1A1A1A"/>
          <w:sz w:val="22"/>
        </w:rPr>
        <w:t>Conclusão:</w:t>
      </w:r>
      <w:r w:rsidRPr="00CD5EEE">
        <w:rPr>
          <w:color w:val="1A1A1A"/>
          <w:sz w:val="22"/>
        </w:rPr>
        <w:t xml:space="preserve"> A análise evidencia forte correlação entre internações por obesidade e realização de cirurgia bariátrica na Região Sul, destacando o PR como estado com maior eficiência do fluxo clínico-cirúrgico. O período pós-pandêmico, embora impulsionado pela videolaparoscopia, permanece aquém do pico histórico, o que corrobora a urgência de ampliação da capacidade estrutural, especialmente em SC e RS, visando maior equidade no acesso ao tratamento cirúrgico da obesidade.</w:t>
      </w:r>
    </w:p>
    <w:p w:rsidR="000B5910" w:rsidRDefault="000B5910">
      <w:pPr>
        <w:pBdr>
          <w:bottom w:val="single" w:sz="4" w:space="2" w:color="808080"/>
        </w:pBdr>
        <w:spacing w:before="12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UFRGS</w:t>
      </w:r>
    </w:p>
    <w:p w:rsidR="000B5910" w:rsidRPr="00CD5EEE" w:rsidRDefault="00057F5C">
      <w:pPr>
        <w:spacing w:after="0" w:line="252" w:lineRule="auto"/>
        <w:rPr>
          <w:sz w:val="16"/>
          <w:szCs w:val="16"/>
        </w:rPr>
      </w:pPr>
      <w:r w:rsidRPr="00CD5EEE">
        <w:rPr>
          <w:color w:val="595959"/>
          <w:sz w:val="16"/>
          <w:szCs w:val="16"/>
          <w:vertAlign w:val="superscript"/>
        </w:rPr>
        <w:t>2</w:t>
      </w:r>
      <w:r w:rsidRPr="00CD5EEE">
        <w:rPr>
          <w:color w:val="595959"/>
          <w:sz w:val="16"/>
          <w:szCs w:val="16"/>
        </w:rPr>
        <w:t xml:space="preserve"> UFCSPA</w:t>
      </w:r>
    </w:p>
    <w:p w:rsidR="000B5910" w:rsidRDefault="000B5910">
      <w:pPr>
        <w:sectPr w:rsidR="000B5910">
          <w:headerReference w:type="default" r:id="rId325"/>
          <w:footerReference w:type="default" r:id="rId326"/>
          <w:pgSz w:w="12240" w:h="15840"/>
          <w:pgMar w:top="1417" w:right="1417" w:bottom="1417" w:left="1417" w:header="680" w:footer="680" w:gutter="0"/>
          <w:cols w:space="720"/>
        </w:sectPr>
      </w:pPr>
    </w:p>
    <w:p w:rsidR="000B5910" w:rsidRPr="00CD5EEE" w:rsidRDefault="00057F5C">
      <w:pPr>
        <w:spacing w:before="80" w:line="252" w:lineRule="auto"/>
        <w:jc w:val="center"/>
        <w:rPr>
          <w:sz w:val="28"/>
          <w:szCs w:val="28"/>
        </w:rPr>
      </w:pPr>
      <w:r w:rsidRPr="00CD5EEE">
        <w:rPr>
          <w:b/>
          <w:color w:val="1A1A1A"/>
          <w:sz w:val="28"/>
          <w:szCs w:val="28"/>
        </w:rPr>
        <w:lastRenderedPageBreak/>
        <w:t>USO DE TIRZEPATIDA CONTRABANDEADA E INTOXICAÇÃO POR VITAMINA D CAUSANDO DISTÚRBIOS ELETROLÍTICOS GRAVES: UM RELATO DE CASO</w:t>
      </w:r>
    </w:p>
    <w:p w:rsidR="000B5910" w:rsidRPr="00CD5EEE" w:rsidRDefault="00057F5C">
      <w:pPr>
        <w:spacing w:after="40" w:line="252" w:lineRule="auto"/>
        <w:jc w:val="right"/>
        <w:rPr>
          <w:szCs w:val="21"/>
        </w:rPr>
      </w:pPr>
      <w:r w:rsidRPr="00CD5EEE">
        <w:rPr>
          <w:color w:val="1A1A1A"/>
          <w:szCs w:val="21"/>
        </w:rPr>
        <w:t>Murilo Gonçalves Braga</w:t>
      </w:r>
      <w:r w:rsidRPr="00CD5EEE">
        <w:rPr>
          <w:color w:val="1A1A1A"/>
          <w:szCs w:val="21"/>
          <w:vertAlign w:val="superscript"/>
        </w:rPr>
        <w:t>1</w:t>
      </w:r>
      <w:r w:rsidRPr="00CD5EEE">
        <w:rPr>
          <w:szCs w:val="21"/>
        </w:rPr>
        <w:br/>
      </w:r>
      <w:r w:rsidRPr="00CD5EEE">
        <w:rPr>
          <w:color w:val="1A1A1A"/>
          <w:szCs w:val="21"/>
        </w:rPr>
        <w:t>Janine Alessi</w:t>
      </w:r>
      <w:r w:rsidRPr="00CD5EEE">
        <w:rPr>
          <w:color w:val="1A1A1A"/>
          <w:szCs w:val="21"/>
          <w:vertAlign w:val="superscript"/>
        </w:rPr>
        <w:t>1</w:t>
      </w:r>
      <w:r w:rsidRPr="00CD5EEE">
        <w:rPr>
          <w:szCs w:val="21"/>
        </w:rPr>
        <w:br/>
      </w:r>
      <w:r w:rsidRPr="00CD5EEE">
        <w:rPr>
          <w:color w:val="1A1A1A"/>
          <w:szCs w:val="21"/>
        </w:rPr>
        <w:t>Antônia dos Santos Bobrowski</w:t>
      </w:r>
      <w:r w:rsidRPr="00CD5EEE">
        <w:rPr>
          <w:color w:val="1A1A1A"/>
          <w:szCs w:val="21"/>
          <w:vertAlign w:val="superscript"/>
        </w:rPr>
        <w:t>1</w:t>
      </w:r>
      <w:r w:rsidRPr="00CD5EEE">
        <w:rPr>
          <w:szCs w:val="21"/>
        </w:rPr>
        <w:br/>
      </w:r>
      <w:r w:rsidRPr="00CD5EEE">
        <w:rPr>
          <w:color w:val="1A1A1A"/>
          <w:szCs w:val="21"/>
        </w:rPr>
        <w:t>Helena Uchôa</w:t>
      </w:r>
      <w:r w:rsidRPr="00CD5EEE">
        <w:rPr>
          <w:color w:val="1A1A1A"/>
          <w:szCs w:val="21"/>
          <w:vertAlign w:val="superscript"/>
        </w:rPr>
        <w:t>1</w:t>
      </w:r>
      <w:r w:rsidRPr="00CD5EEE">
        <w:rPr>
          <w:szCs w:val="21"/>
        </w:rPr>
        <w:br/>
      </w:r>
      <w:r w:rsidRPr="00CD5EEE">
        <w:rPr>
          <w:color w:val="1A1A1A"/>
          <w:szCs w:val="21"/>
        </w:rPr>
        <w:t>Inácio Kehl</w:t>
      </w:r>
      <w:r w:rsidRPr="00CD5EEE">
        <w:rPr>
          <w:color w:val="1A1A1A"/>
          <w:szCs w:val="21"/>
          <w:vertAlign w:val="superscript"/>
        </w:rPr>
        <w:t>1</w:t>
      </w:r>
      <w:r w:rsidRPr="00CD5EEE">
        <w:rPr>
          <w:szCs w:val="21"/>
        </w:rPr>
        <w:br/>
      </w:r>
      <w:r w:rsidRPr="00CD5EEE">
        <w:rPr>
          <w:color w:val="1A1A1A"/>
          <w:szCs w:val="21"/>
        </w:rPr>
        <w:t>Leonardo Silveira Bastolla</w:t>
      </w:r>
      <w:r w:rsidRPr="00CD5EEE">
        <w:rPr>
          <w:color w:val="1A1A1A"/>
          <w:szCs w:val="21"/>
          <w:vertAlign w:val="superscript"/>
        </w:rPr>
        <w:t>1</w:t>
      </w:r>
      <w:r w:rsidRPr="00CD5EEE">
        <w:rPr>
          <w:szCs w:val="21"/>
        </w:rPr>
        <w:br/>
      </w:r>
      <w:r w:rsidRPr="00CD5EEE">
        <w:rPr>
          <w:color w:val="1A1A1A"/>
          <w:szCs w:val="21"/>
        </w:rPr>
        <w:t>Marco Antônio Brugnarotto Galvan</w:t>
      </w:r>
      <w:r w:rsidRPr="00CD5EEE">
        <w:rPr>
          <w:color w:val="1A1A1A"/>
          <w:szCs w:val="21"/>
          <w:vertAlign w:val="superscript"/>
        </w:rPr>
        <w:t>1</w:t>
      </w:r>
      <w:r w:rsidRPr="00CD5EEE">
        <w:rPr>
          <w:szCs w:val="21"/>
        </w:rPr>
        <w:br/>
      </w:r>
      <w:r w:rsidRPr="00CD5EEE">
        <w:rPr>
          <w:color w:val="1A1A1A"/>
          <w:szCs w:val="21"/>
        </w:rPr>
        <w:t>Márcio Cruvinel Barbosa de Macêdo</w:t>
      </w:r>
      <w:r w:rsidRPr="00CD5EEE">
        <w:rPr>
          <w:color w:val="1A1A1A"/>
          <w:szCs w:val="21"/>
          <w:vertAlign w:val="superscript"/>
        </w:rPr>
        <w:t>1</w:t>
      </w:r>
      <w:r w:rsidRPr="00CD5EEE">
        <w:rPr>
          <w:szCs w:val="21"/>
        </w:rPr>
        <w:br/>
      </w:r>
      <w:r w:rsidRPr="00CD5EEE">
        <w:rPr>
          <w:color w:val="1A1A1A"/>
          <w:szCs w:val="21"/>
        </w:rPr>
        <w:t>Matheus Coelho Brasco</w:t>
      </w:r>
      <w:r w:rsidRPr="00CD5EEE">
        <w:rPr>
          <w:color w:val="1A1A1A"/>
          <w:szCs w:val="21"/>
          <w:vertAlign w:val="superscript"/>
        </w:rPr>
        <w:t>1</w:t>
      </w:r>
      <w:r w:rsidRPr="00CD5EEE">
        <w:rPr>
          <w:szCs w:val="21"/>
        </w:rPr>
        <w:br/>
      </w:r>
      <w:r w:rsidRPr="00CD5EEE">
        <w:rPr>
          <w:color w:val="1A1A1A"/>
          <w:szCs w:val="21"/>
        </w:rPr>
        <w:t>Nur Abdalla Juma Abdel Hamid</w:t>
      </w:r>
      <w:r w:rsidRPr="00CD5EEE">
        <w:rPr>
          <w:color w:val="1A1A1A"/>
          <w:szCs w:val="21"/>
          <w:vertAlign w:val="superscript"/>
        </w:rPr>
        <w:t>1</w:t>
      </w:r>
      <w:r w:rsidRPr="00CD5EEE">
        <w:rPr>
          <w:szCs w:val="21"/>
        </w:rPr>
        <w:br/>
      </w:r>
      <w:r w:rsidRPr="00CD5EEE">
        <w:rPr>
          <w:color w:val="1A1A1A"/>
          <w:szCs w:val="21"/>
        </w:rPr>
        <w:t>Valentina Dall’Agnol Roman</w:t>
      </w:r>
      <w:r w:rsidRPr="00CD5EEE">
        <w:rPr>
          <w:color w:val="1A1A1A"/>
          <w:szCs w:val="21"/>
          <w:vertAlign w:val="superscript"/>
        </w:rPr>
        <w:t>1</w:t>
      </w:r>
    </w:p>
    <w:p w:rsidR="000B5910" w:rsidRPr="00CD5EEE" w:rsidRDefault="00057F5C" w:rsidP="00CD5EEE">
      <w:pPr>
        <w:spacing w:before="200" w:after="100" w:line="240" w:lineRule="auto"/>
        <w:jc w:val="both"/>
        <w:rPr>
          <w:sz w:val="22"/>
        </w:rPr>
      </w:pPr>
      <w:r w:rsidRPr="00CD5EEE">
        <w:rPr>
          <w:b/>
          <w:color w:val="1A1A1A"/>
          <w:sz w:val="22"/>
        </w:rPr>
        <w:t>RESUMO</w:t>
      </w:r>
    </w:p>
    <w:p w:rsidR="000B5910" w:rsidRPr="00CD5EEE" w:rsidRDefault="00057F5C" w:rsidP="00CD5EEE">
      <w:pPr>
        <w:spacing w:after="80" w:line="240" w:lineRule="auto"/>
        <w:jc w:val="both"/>
        <w:rPr>
          <w:sz w:val="22"/>
        </w:rPr>
      </w:pPr>
      <w:r w:rsidRPr="00CD5EEE">
        <w:rPr>
          <w:b/>
          <w:color w:val="1A1A1A"/>
          <w:sz w:val="22"/>
        </w:rPr>
        <w:t>Apresentação do Caso:</w:t>
      </w:r>
      <w:r w:rsidRPr="00CD5EEE">
        <w:rPr>
          <w:color w:val="1A1A1A"/>
          <w:sz w:val="22"/>
        </w:rPr>
        <w:t xml:space="preserve"> Paciente feminina, 46 anos, com tireoidectomia prévia por nódulos benignos e hipoparatireoidismo pós-cirúrgico, portava prescrição de endocrinologista de levotiroxina 175 mcg/dia, carbonato de cálcio 3g/dia e calcitriol 0,25 mcg 1 comprimido TID. Admitida em hospital terciário por quadro de letargia, confusão mental e astenia iniciados após uso de tirzepatida adquirida no Paraguai por meios informais, motivado por forte pressão estética familiar. A paciente apresentava vômitos desde o início do uso duas semanas antes e, na tentativa de otimizar a perda ponderal para um evento, autoadministrou 15 mg em dose única, agravando </w:t>
      </w:r>
      <w:proofErr w:type="gramStart"/>
      <w:r w:rsidRPr="00CD5EEE">
        <w:rPr>
          <w:color w:val="1A1A1A"/>
          <w:sz w:val="22"/>
        </w:rPr>
        <w:t>a</w:t>
      </w:r>
      <w:proofErr w:type="gramEnd"/>
      <w:r w:rsidRPr="00CD5EEE">
        <w:rPr>
          <w:color w:val="1A1A1A"/>
          <w:sz w:val="22"/>
        </w:rPr>
        <w:t xml:space="preserve"> intolerância gastrointestinal e evoluindo com desidratação grave. Percebeu câimbras após início dos vômitos, optando por aumentar sem orientação médica a dose de calcitriol para 6 comprimidos TID. Na chegada, exames evidenciaram injúria renal aguda (IRA) pré-renal (creatinina 2,35 mg/dL), Ureia 85 mg/dL, hiponatremia grave (sódio 128 mEq/L) e hipercalcemia grave (cálcio iônico 11,11 mg/dL; cálcio total corrigido 20,6 mg/dL). Iniciou-se hidratação venosa, suspensão da reposição oral e dose única de ácido zoledrônico para controle da hipercalcemia sintomática. Após hidratação, houve resolução da IRA e melhora neurológica. No quinto dia, evoluiu com cefaleia e espasmos musculares, sinal de Trousseau positivo, confirmando-se hipocalcemia rebote (cálcio iônico 3,84 mg/dL). O quadro foi revertido com cálcio intravenoso de urgência, seguido da reintrodução de cálcio e calcitriol (carbonato de cálcio 4g/dia e calcitriol 0,25 mcg 6/6h), recebendo alta após reajuste das doses orais. </w:t>
      </w:r>
      <w:r w:rsidRPr="00CD5EEE">
        <w:rPr>
          <w:b/>
          <w:color w:val="1A1A1A"/>
          <w:sz w:val="22"/>
        </w:rPr>
        <w:t>Discussão:</w:t>
      </w:r>
      <w:r w:rsidRPr="00CD5EEE">
        <w:rPr>
          <w:color w:val="1A1A1A"/>
          <w:sz w:val="22"/>
        </w:rPr>
        <w:t xml:space="preserve"> O uso de fármacos sem prescrição associa-se a transtornos de saúde mental e traços de personalidade, como neuroticismo. </w:t>
      </w:r>
      <w:proofErr w:type="gramStart"/>
      <w:r w:rsidRPr="00CD5EEE">
        <w:rPr>
          <w:color w:val="1A1A1A"/>
          <w:sz w:val="22"/>
        </w:rPr>
        <w:t>A</w:t>
      </w:r>
      <w:proofErr w:type="gramEnd"/>
      <w:r w:rsidRPr="00CD5EEE">
        <w:rPr>
          <w:color w:val="1A1A1A"/>
          <w:sz w:val="22"/>
        </w:rPr>
        <w:t xml:space="preserve"> automedicação tem alta chance de recidiva se houver experiência prévia ou fácil acesso a medicamentos. Este caso alerta para riscos da autoprescrição e uso inadvertido de fármacos sem vigilância. A superdosagem de tirzepatida gerou toxicidade gastrointestinal severa, hipovolemia e IRA. Ante a desidratação, </w:t>
      </w:r>
      <w:proofErr w:type="gramStart"/>
      <w:r w:rsidRPr="00CD5EEE">
        <w:rPr>
          <w:color w:val="1A1A1A"/>
          <w:sz w:val="22"/>
        </w:rPr>
        <w:t>a</w:t>
      </w:r>
      <w:proofErr w:type="gramEnd"/>
      <w:r w:rsidRPr="00CD5EEE">
        <w:rPr>
          <w:color w:val="1A1A1A"/>
          <w:sz w:val="22"/>
        </w:rPr>
        <w:t xml:space="preserve"> intoxicação por calcitriol potencializou a gravidade: riscos de hipercalcemia grave incluem deterioração da função renal, arritmias, depressão do SNC e crise fatal. </w:t>
      </w:r>
      <w:r w:rsidRPr="00CD5EEE">
        <w:rPr>
          <w:b/>
          <w:color w:val="1A1A1A"/>
          <w:sz w:val="22"/>
        </w:rPr>
        <w:t>Considerações finais:</w:t>
      </w:r>
      <w:r w:rsidRPr="00CD5EEE">
        <w:rPr>
          <w:color w:val="1A1A1A"/>
          <w:sz w:val="22"/>
        </w:rPr>
        <w:t xml:space="preserve"> A combinação de dupla intoxicação deve ser um alerta para pacientes que necessitem maior suporte assistencial, medidas educativas e, em alguns casos, acompanhamento especializado em saúde mental, durante os cuidados de saúde.</w:t>
      </w:r>
    </w:p>
    <w:p w:rsidR="000B5910" w:rsidRDefault="000B5910" w:rsidP="00CD5EEE">
      <w:pPr>
        <w:pBdr>
          <w:bottom w:val="single" w:sz="4" w:space="2" w:color="808080"/>
        </w:pBdr>
        <w:spacing w:before="120" w:after="40" w:line="240" w:lineRule="auto"/>
        <w:jc w:val="both"/>
      </w:pPr>
    </w:p>
    <w:p w:rsidR="000B5910" w:rsidRPr="00CD5EEE" w:rsidRDefault="00057F5C" w:rsidP="00CD5EEE">
      <w:pPr>
        <w:spacing w:after="0" w:line="240" w:lineRule="auto"/>
        <w:jc w:val="both"/>
        <w:rPr>
          <w:sz w:val="16"/>
          <w:szCs w:val="16"/>
        </w:rPr>
      </w:pPr>
      <w:r w:rsidRPr="00CD5EEE">
        <w:rPr>
          <w:color w:val="595959"/>
          <w:sz w:val="16"/>
          <w:szCs w:val="16"/>
          <w:vertAlign w:val="superscript"/>
        </w:rPr>
        <w:t>1</w:t>
      </w:r>
      <w:r w:rsidRPr="00CD5EEE">
        <w:rPr>
          <w:color w:val="595959"/>
          <w:sz w:val="16"/>
          <w:szCs w:val="16"/>
        </w:rPr>
        <w:t xml:space="preserve"> Pontifícia Universidade Católica do Rio Grande do Sul</w:t>
      </w:r>
    </w:p>
    <w:p w:rsidR="000B5910" w:rsidRDefault="000B5910">
      <w:pPr>
        <w:sectPr w:rsidR="000B5910">
          <w:headerReference w:type="default" r:id="rId327"/>
          <w:footerReference w:type="default" r:id="rId328"/>
          <w:pgSz w:w="12240" w:h="15840"/>
          <w:pgMar w:top="1417" w:right="1417" w:bottom="1417" w:left="1417" w:header="680" w:footer="680" w:gutter="0"/>
          <w:cols w:space="720"/>
        </w:sectPr>
      </w:pPr>
    </w:p>
    <w:p w:rsidR="000B5910" w:rsidRPr="00CD5EEE" w:rsidRDefault="00057F5C">
      <w:pPr>
        <w:spacing w:before="80" w:line="252" w:lineRule="auto"/>
        <w:jc w:val="center"/>
        <w:rPr>
          <w:sz w:val="22"/>
        </w:rPr>
      </w:pPr>
      <w:r w:rsidRPr="00CD5EEE">
        <w:rPr>
          <w:b/>
          <w:color w:val="1A1A1A"/>
          <w:sz w:val="28"/>
        </w:rPr>
        <w:lastRenderedPageBreak/>
        <w:t>USO DE SEMAGLUTIDA SEM INDICAÇÃO CLÍNICA FORMAL PARA PERDA DE PESO: PREVALÊNCIA E FATORES ASSOCIADOS</w:t>
      </w:r>
    </w:p>
    <w:p w:rsidR="000B5910" w:rsidRPr="00CD5EEE" w:rsidRDefault="00057F5C">
      <w:pPr>
        <w:spacing w:after="40" w:line="252" w:lineRule="auto"/>
        <w:jc w:val="right"/>
        <w:rPr>
          <w:szCs w:val="21"/>
        </w:rPr>
      </w:pPr>
      <w:r w:rsidRPr="00CD5EEE">
        <w:rPr>
          <w:color w:val="1A1A1A"/>
          <w:szCs w:val="21"/>
        </w:rPr>
        <w:t>Lucas Strassburger Matzenbacher</w:t>
      </w:r>
      <w:r w:rsidRPr="00CD5EEE">
        <w:rPr>
          <w:color w:val="1A1A1A"/>
          <w:szCs w:val="21"/>
          <w:vertAlign w:val="superscript"/>
        </w:rPr>
        <w:t>1</w:t>
      </w:r>
      <w:r w:rsidRPr="00CD5EEE">
        <w:rPr>
          <w:szCs w:val="21"/>
        </w:rPr>
        <w:br/>
      </w:r>
      <w:r w:rsidRPr="00CD5EEE">
        <w:rPr>
          <w:color w:val="1A1A1A"/>
          <w:szCs w:val="21"/>
        </w:rPr>
        <w:t>Andressa Balotin</w:t>
      </w:r>
      <w:r w:rsidRPr="00CD5EEE">
        <w:rPr>
          <w:color w:val="1A1A1A"/>
          <w:szCs w:val="21"/>
          <w:vertAlign w:val="superscript"/>
        </w:rPr>
        <w:t>1</w:t>
      </w:r>
      <w:r w:rsidRPr="00CD5EEE">
        <w:rPr>
          <w:szCs w:val="21"/>
        </w:rPr>
        <w:br/>
      </w:r>
      <w:r w:rsidRPr="00CD5EEE">
        <w:rPr>
          <w:color w:val="1A1A1A"/>
          <w:szCs w:val="21"/>
        </w:rPr>
        <w:t>Laura Gomes Boabaid de Barros</w:t>
      </w:r>
      <w:r w:rsidRPr="00CD5EEE">
        <w:rPr>
          <w:color w:val="1A1A1A"/>
          <w:szCs w:val="21"/>
          <w:vertAlign w:val="superscript"/>
        </w:rPr>
        <w:t>1</w:t>
      </w:r>
      <w:r w:rsidRPr="00CD5EEE">
        <w:rPr>
          <w:szCs w:val="21"/>
        </w:rPr>
        <w:br/>
      </w:r>
      <w:r w:rsidRPr="00CD5EEE">
        <w:rPr>
          <w:color w:val="1A1A1A"/>
          <w:szCs w:val="21"/>
        </w:rPr>
        <w:t>Luiza Machado Blank</w:t>
      </w:r>
      <w:r w:rsidRPr="00CD5EEE">
        <w:rPr>
          <w:color w:val="1A1A1A"/>
          <w:szCs w:val="21"/>
          <w:vertAlign w:val="superscript"/>
        </w:rPr>
        <w:t>1</w:t>
      </w:r>
      <w:r w:rsidRPr="00CD5EEE">
        <w:rPr>
          <w:szCs w:val="21"/>
        </w:rPr>
        <w:br/>
      </w:r>
      <w:r w:rsidRPr="00CD5EEE">
        <w:rPr>
          <w:color w:val="1A1A1A"/>
          <w:szCs w:val="21"/>
        </w:rPr>
        <w:t>Mariana Kude Perrone</w:t>
      </w:r>
      <w:r w:rsidRPr="00CD5EEE">
        <w:rPr>
          <w:color w:val="1A1A1A"/>
          <w:szCs w:val="21"/>
          <w:vertAlign w:val="superscript"/>
        </w:rPr>
        <w:t>1</w:t>
      </w:r>
      <w:r w:rsidRPr="00CD5EEE">
        <w:rPr>
          <w:szCs w:val="21"/>
        </w:rPr>
        <w:br/>
      </w:r>
      <w:r w:rsidRPr="00CD5EEE">
        <w:rPr>
          <w:color w:val="1A1A1A"/>
          <w:szCs w:val="21"/>
        </w:rPr>
        <w:t>Ana Gabriela Rodrigues Haussen</w:t>
      </w:r>
      <w:r w:rsidRPr="00CD5EEE">
        <w:rPr>
          <w:color w:val="1A1A1A"/>
          <w:szCs w:val="21"/>
          <w:vertAlign w:val="superscript"/>
        </w:rPr>
        <w:t>1</w:t>
      </w:r>
      <w:r w:rsidRPr="00CD5EEE">
        <w:rPr>
          <w:szCs w:val="21"/>
        </w:rPr>
        <w:br/>
      </w:r>
      <w:r w:rsidRPr="00CD5EEE">
        <w:rPr>
          <w:color w:val="1A1A1A"/>
          <w:szCs w:val="21"/>
        </w:rPr>
        <w:t>Taíse Rosa de Carvalho</w:t>
      </w:r>
      <w:r w:rsidRPr="00CD5EEE">
        <w:rPr>
          <w:color w:val="1A1A1A"/>
          <w:szCs w:val="21"/>
          <w:vertAlign w:val="superscript"/>
        </w:rPr>
        <w:t>1</w:t>
      </w:r>
      <w:r w:rsidRPr="00CD5EEE">
        <w:rPr>
          <w:szCs w:val="21"/>
        </w:rPr>
        <w:br/>
      </w:r>
      <w:r w:rsidRPr="00CD5EEE">
        <w:rPr>
          <w:color w:val="1A1A1A"/>
          <w:szCs w:val="21"/>
        </w:rPr>
        <w:t>Gabriela Heiden Teló</w:t>
      </w:r>
      <w:r w:rsidRPr="00CD5EEE">
        <w:rPr>
          <w:color w:val="1A1A1A"/>
          <w:szCs w:val="21"/>
          <w:vertAlign w:val="superscript"/>
        </w:rPr>
        <w:t>1</w:t>
      </w:r>
    </w:p>
    <w:p w:rsidR="000B5910" w:rsidRPr="00CD5EEE" w:rsidRDefault="00057F5C">
      <w:pPr>
        <w:spacing w:before="200" w:after="100"/>
        <w:rPr>
          <w:sz w:val="22"/>
        </w:rPr>
      </w:pPr>
      <w:r w:rsidRPr="00CD5EEE">
        <w:rPr>
          <w:b/>
          <w:color w:val="1A1A1A"/>
          <w:sz w:val="22"/>
        </w:rPr>
        <w:t>RESUMO</w:t>
      </w:r>
    </w:p>
    <w:p w:rsidR="000B5910" w:rsidRPr="00CD5EEE" w:rsidRDefault="00057F5C">
      <w:pPr>
        <w:spacing w:after="80" w:line="264" w:lineRule="auto"/>
        <w:jc w:val="both"/>
        <w:rPr>
          <w:sz w:val="22"/>
        </w:rPr>
      </w:pPr>
      <w:r w:rsidRPr="00CD5EEE">
        <w:rPr>
          <w:b/>
          <w:color w:val="1A1A1A"/>
          <w:sz w:val="22"/>
        </w:rPr>
        <w:t>Introdução:</w:t>
      </w:r>
      <w:r w:rsidRPr="00CD5EEE">
        <w:rPr>
          <w:color w:val="1A1A1A"/>
          <w:sz w:val="22"/>
        </w:rPr>
        <w:t xml:space="preserve"> O uso de semaglutida para perda de peso tem aumentado nos últimos anos, frequentemente além das indicações clínicas aprovadas em bula, levantando preocupações quanto ao uso sem indicação formal. </w:t>
      </w:r>
      <w:r w:rsidRPr="00CD5EEE">
        <w:rPr>
          <w:b/>
          <w:color w:val="1A1A1A"/>
          <w:sz w:val="22"/>
        </w:rPr>
        <w:t>Objetivo:</w:t>
      </w:r>
      <w:r w:rsidRPr="00CD5EEE">
        <w:rPr>
          <w:color w:val="1A1A1A"/>
          <w:sz w:val="22"/>
        </w:rPr>
        <w:t xml:space="preserve"> Avaliar a prevalência do uso de semaglutida para perda de peso sem indicação formal na população brasileira e identificar fatores associados </w:t>
      </w:r>
      <w:proofErr w:type="gramStart"/>
      <w:r w:rsidRPr="00CD5EEE">
        <w:rPr>
          <w:color w:val="1A1A1A"/>
          <w:sz w:val="22"/>
        </w:rPr>
        <w:t>a</w:t>
      </w:r>
      <w:proofErr w:type="gramEnd"/>
      <w:r w:rsidRPr="00CD5EEE">
        <w:rPr>
          <w:color w:val="1A1A1A"/>
          <w:sz w:val="22"/>
        </w:rPr>
        <w:t xml:space="preserve"> essa prática. </w:t>
      </w:r>
      <w:r w:rsidRPr="00CD5EEE">
        <w:rPr>
          <w:b/>
          <w:color w:val="1A1A1A"/>
          <w:sz w:val="22"/>
        </w:rPr>
        <w:t>Métodos:</w:t>
      </w:r>
      <w:r w:rsidRPr="00CD5EEE">
        <w:rPr>
          <w:color w:val="1A1A1A"/>
          <w:sz w:val="22"/>
        </w:rPr>
        <w:t xml:space="preserve"> Estudo transversal incluindo indivíduos com idade ≥18 anos que relataram uso atual ou prévio de semaglutida para perda de peso. Os participantes foram classificados como tendo indicação formal quando apresentavam índice de massa corporal (IMC) ≥30 kg/m² ou IMC ≥27 kg/m² associado a comorbidades relacionadas à obesidade, enquanto aqueles que não atendiam </w:t>
      </w:r>
      <w:proofErr w:type="gramStart"/>
      <w:r w:rsidRPr="00CD5EEE">
        <w:rPr>
          <w:color w:val="1A1A1A"/>
          <w:sz w:val="22"/>
        </w:rPr>
        <w:t>a</w:t>
      </w:r>
      <w:proofErr w:type="gramEnd"/>
      <w:r w:rsidRPr="00CD5EEE">
        <w:rPr>
          <w:color w:val="1A1A1A"/>
          <w:sz w:val="22"/>
        </w:rPr>
        <w:t xml:space="preserve"> esses critérios foram classificados como usuários off-label. O desfecho principal foi a prevalência de uso off-label de semaglutida. Para identificar fatores associados </w:t>
      </w:r>
      <w:proofErr w:type="gramStart"/>
      <w:r w:rsidRPr="00CD5EEE">
        <w:rPr>
          <w:color w:val="1A1A1A"/>
          <w:sz w:val="22"/>
        </w:rPr>
        <w:t>a</w:t>
      </w:r>
      <w:proofErr w:type="gramEnd"/>
      <w:r w:rsidRPr="00CD5EEE">
        <w:rPr>
          <w:color w:val="1A1A1A"/>
          <w:sz w:val="22"/>
        </w:rPr>
        <w:t xml:space="preserve"> esse desfecho, foram construídos modelos de regressão de Poisson com variância robusta para estimar razões de prevalência (PR) e respectivos intervalos de confiança de 95% (IC95%), avaliando a associação entre o uso off-label e variáveis sociodemográficas.</w:t>
      </w:r>
      <w:r w:rsidRPr="00CD5EEE">
        <w:rPr>
          <w:b/>
          <w:color w:val="1A1A1A"/>
          <w:sz w:val="22"/>
        </w:rPr>
        <w:t xml:space="preserve"> Resultados: </w:t>
      </w:r>
      <w:r w:rsidRPr="00CD5EEE">
        <w:rPr>
          <w:color w:val="1A1A1A"/>
          <w:sz w:val="22"/>
        </w:rPr>
        <w:t xml:space="preserve">Foram incluídos 725 participantes (idade média de 38,3 ± 10,7 anos; IMC médio de 32,9 ± 5,9 kg/m²), dos quais 47% relataram uso atual e 53% uso prévio de semaglutida. Quanto à prescrição, 16% referiram prescrição por endocrinologista, 63% por médicos não endocrinologistas e 21% uso sem prescrição médica. A prevalência de uso off-label foi de 25,4% (IC95%: 22,2–28,6). Após ajuste, o uso off-label foi mais frequente entre mulheres (RP = 4,3; IC95%: 2,7–7,0), indivíduos com idade &lt;30 anos (RP = 1,5; IC95%: 1,1–2,0) e entre 30–40 anos (RP = 1,6; IC95%: 1,0–2,0), em comparação aos participantes com idade &gt;40 anos, e entre indivíduos com maior renda (RP = 2,7; IC95%: 1,7–4,3). Em comparação à prescrição por endocrinologistas, o uso off-label foi mais frequente entre usuários sem prescrição médica (RP = 1,6; IC95%: 1,2–2,7) e menos frequente entre aqueles com prescrição por médicos não endocrinologistas (RP = 0,7; IC95%: 0,5–0,9). </w:t>
      </w:r>
      <w:r w:rsidRPr="00CD5EEE">
        <w:rPr>
          <w:b/>
          <w:color w:val="1A1A1A"/>
          <w:sz w:val="22"/>
        </w:rPr>
        <w:t>Conclusão:</w:t>
      </w:r>
      <w:r w:rsidRPr="00CD5EEE">
        <w:rPr>
          <w:color w:val="1A1A1A"/>
          <w:sz w:val="22"/>
        </w:rPr>
        <w:t xml:space="preserve"> Nossos achados demonstram alta prevalência de uso off-label de semaglutida para perda de peso, observada em um a cada quatro participantes. Esse padrão esteve associado a fatores sociodemográficos e frequentemente ocorreu sem supervisão médica, destacando a necessidade de diretrizes clínicas mais claras e estratégias para promover o uso seguro do medicamento.</w:t>
      </w:r>
    </w:p>
    <w:p w:rsidR="000B5910" w:rsidRDefault="000B5910">
      <w:pPr>
        <w:pBdr>
          <w:bottom w:val="single" w:sz="4" w:space="2" w:color="808080"/>
        </w:pBdr>
        <w:spacing w:before="12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Pontifícia Universidade Católica do Rio Grande do Sul</w:t>
      </w:r>
    </w:p>
    <w:p w:rsidR="000B5910" w:rsidRDefault="000B5910">
      <w:pPr>
        <w:sectPr w:rsidR="000B5910">
          <w:headerReference w:type="default" r:id="rId329"/>
          <w:footerReference w:type="default" r:id="rId330"/>
          <w:pgSz w:w="12240" w:h="15840"/>
          <w:pgMar w:top="1417" w:right="1417" w:bottom="1417" w:left="1417" w:header="680" w:footer="680" w:gutter="0"/>
          <w:cols w:space="720"/>
        </w:sectPr>
      </w:pPr>
    </w:p>
    <w:p w:rsidR="000B5910" w:rsidRPr="00CD5EEE" w:rsidRDefault="00057F5C">
      <w:pPr>
        <w:spacing w:before="80" w:line="252" w:lineRule="auto"/>
        <w:jc w:val="center"/>
        <w:rPr>
          <w:sz w:val="22"/>
        </w:rPr>
      </w:pPr>
      <w:r w:rsidRPr="00CD5EEE">
        <w:rPr>
          <w:b/>
          <w:color w:val="1A1A1A"/>
          <w:sz w:val="28"/>
        </w:rPr>
        <w:lastRenderedPageBreak/>
        <w:t>DOENÇAS OCULARES CRÔNICAS ASSOCIADAS AO USO DE SEMAGLUTIDA: REVISÃO SISTEMÁTICA COM METANÁLISE</w:t>
      </w:r>
    </w:p>
    <w:p w:rsidR="000B5910" w:rsidRPr="00CD5EEE" w:rsidRDefault="00057F5C">
      <w:pPr>
        <w:spacing w:after="40" w:line="252" w:lineRule="auto"/>
        <w:jc w:val="right"/>
        <w:rPr>
          <w:szCs w:val="21"/>
        </w:rPr>
      </w:pPr>
      <w:r w:rsidRPr="00CD5EEE">
        <w:rPr>
          <w:color w:val="1A1A1A"/>
          <w:szCs w:val="21"/>
        </w:rPr>
        <w:t>Gabriella Richter da Natividade</w:t>
      </w:r>
      <w:r w:rsidRPr="00CD5EEE">
        <w:rPr>
          <w:color w:val="1A1A1A"/>
          <w:szCs w:val="21"/>
          <w:vertAlign w:val="superscript"/>
        </w:rPr>
        <w:t>1</w:t>
      </w:r>
      <w:r w:rsidRPr="00CD5EEE">
        <w:rPr>
          <w:szCs w:val="21"/>
        </w:rPr>
        <w:br/>
      </w:r>
      <w:r w:rsidRPr="00CD5EEE">
        <w:rPr>
          <w:color w:val="1A1A1A"/>
          <w:szCs w:val="21"/>
        </w:rPr>
        <w:t>Bernardo F. Spiazzi</w:t>
      </w:r>
      <w:r w:rsidRPr="00CD5EEE">
        <w:rPr>
          <w:color w:val="1A1A1A"/>
          <w:szCs w:val="21"/>
          <w:vertAlign w:val="superscript"/>
        </w:rPr>
        <w:t>2</w:t>
      </w:r>
      <w:r w:rsidRPr="00CD5EEE">
        <w:rPr>
          <w:szCs w:val="21"/>
        </w:rPr>
        <w:br/>
      </w:r>
      <w:r w:rsidRPr="00CD5EEE">
        <w:rPr>
          <w:color w:val="1A1A1A"/>
          <w:szCs w:val="21"/>
        </w:rPr>
        <w:t>Matheus W. Baumgarten</w:t>
      </w:r>
      <w:r w:rsidRPr="00CD5EEE">
        <w:rPr>
          <w:color w:val="1A1A1A"/>
          <w:szCs w:val="21"/>
          <w:vertAlign w:val="superscript"/>
        </w:rPr>
        <w:t>1</w:t>
      </w:r>
      <w:r w:rsidRPr="00CD5EEE">
        <w:rPr>
          <w:szCs w:val="21"/>
        </w:rPr>
        <w:br/>
      </w:r>
      <w:r w:rsidRPr="00CD5EEE">
        <w:rPr>
          <w:color w:val="1A1A1A"/>
          <w:szCs w:val="21"/>
        </w:rPr>
        <w:t>Caroline Bassotto</w:t>
      </w:r>
      <w:r w:rsidRPr="00CD5EEE">
        <w:rPr>
          <w:color w:val="1A1A1A"/>
          <w:szCs w:val="21"/>
          <w:vertAlign w:val="superscript"/>
        </w:rPr>
        <w:t>1</w:t>
      </w:r>
      <w:r w:rsidRPr="00CD5EEE">
        <w:rPr>
          <w:szCs w:val="21"/>
        </w:rPr>
        <w:br/>
      </w:r>
      <w:r w:rsidRPr="00CD5EEE">
        <w:rPr>
          <w:color w:val="1A1A1A"/>
          <w:szCs w:val="21"/>
        </w:rPr>
        <w:t>Afonso A. Pereira</w:t>
      </w:r>
      <w:r w:rsidRPr="00CD5EEE">
        <w:rPr>
          <w:color w:val="1A1A1A"/>
          <w:szCs w:val="21"/>
          <w:vertAlign w:val="superscript"/>
        </w:rPr>
        <w:t>1</w:t>
      </w:r>
      <w:r w:rsidRPr="00CD5EEE">
        <w:rPr>
          <w:szCs w:val="21"/>
        </w:rPr>
        <w:br/>
      </w:r>
      <w:r w:rsidRPr="00CD5EEE">
        <w:rPr>
          <w:color w:val="1A1A1A"/>
          <w:szCs w:val="21"/>
        </w:rPr>
        <w:t>Bruna L. Fraga</w:t>
      </w:r>
      <w:r w:rsidRPr="00CD5EEE">
        <w:rPr>
          <w:color w:val="1A1A1A"/>
          <w:szCs w:val="21"/>
          <w:vertAlign w:val="superscript"/>
        </w:rPr>
        <w:t>1</w:t>
      </w:r>
      <w:r w:rsidRPr="00CD5EEE">
        <w:rPr>
          <w:szCs w:val="21"/>
        </w:rPr>
        <w:br/>
      </w:r>
      <w:r w:rsidRPr="00CD5EEE">
        <w:rPr>
          <w:color w:val="1A1A1A"/>
          <w:szCs w:val="21"/>
        </w:rPr>
        <w:t>Bruno G. Scalco</w:t>
      </w:r>
      <w:r w:rsidRPr="00CD5EEE">
        <w:rPr>
          <w:color w:val="1A1A1A"/>
          <w:szCs w:val="21"/>
          <w:vertAlign w:val="superscript"/>
        </w:rPr>
        <w:t>1</w:t>
      </w:r>
      <w:r w:rsidRPr="00CD5EEE">
        <w:rPr>
          <w:szCs w:val="21"/>
        </w:rPr>
        <w:br/>
      </w:r>
      <w:r w:rsidRPr="00CD5EEE">
        <w:rPr>
          <w:color w:val="1A1A1A"/>
          <w:szCs w:val="21"/>
        </w:rPr>
        <w:t>Nicole R. Mattes</w:t>
      </w:r>
      <w:r w:rsidRPr="00CD5EEE">
        <w:rPr>
          <w:color w:val="1A1A1A"/>
          <w:szCs w:val="21"/>
          <w:vertAlign w:val="superscript"/>
        </w:rPr>
        <w:t>1</w:t>
      </w:r>
      <w:r w:rsidRPr="00CD5EEE">
        <w:rPr>
          <w:szCs w:val="21"/>
        </w:rPr>
        <w:br/>
      </w:r>
      <w:r w:rsidRPr="00CD5EEE">
        <w:rPr>
          <w:color w:val="1A1A1A"/>
          <w:szCs w:val="21"/>
        </w:rPr>
        <w:t>Daniel Lavinsky</w:t>
      </w:r>
      <w:r w:rsidRPr="00CD5EEE">
        <w:rPr>
          <w:color w:val="1A1A1A"/>
          <w:szCs w:val="21"/>
          <w:vertAlign w:val="superscript"/>
        </w:rPr>
        <w:t>1</w:t>
      </w:r>
      <w:r w:rsidRPr="00CD5EEE">
        <w:rPr>
          <w:szCs w:val="21"/>
        </w:rPr>
        <w:br/>
      </w:r>
      <w:r w:rsidRPr="00CD5EEE">
        <w:rPr>
          <w:color w:val="1A1A1A"/>
          <w:szCs w:val="21"/>
        </w:rPr>
        <w:t>Caroline K. Kramer</w:t>
      </w:r>
      <w:r w:rsidRPr="00CD5EEE">
        <w:rPr>
          <w:color w:val="1A1A1A"/>
          <w:szCs w:val="21"/>
          <w:vertAlign w:val="superscript"/>
        </w:rPr>
        <w:t>3</w:t>
      </w:r>
      <w:r w:rsidRPr="00CD5EEE">
        <w:rPr>
          <w:szCs w:val="21"/>
        </w:rPr>
        <w:br/>
      </w:r>
      <w:r w:rsidRPr="00CD5EEE">
        <w:rPr>
          <w:color w:val="1A1A1A"/>
          <w:szCs w:val="21"/>
        </w:rPr>
        <w:t>Fernando Gerchman</w:t>
      </w:r>
      <w:r w:rsidRPr="00CD5EEE">
        <w:rPr>
          <w:color w:val="1A1A1A"/>
          <w:szCs w:val="21"/>
          <w:vertAlign w:val="superscript"/>
        </w:rPr>
        <w:t>1</w:t>
      </w:r>
    </w:p>
    <w:p w:rsidR="000B5910" w:rsidRPr="00CD5EEE" w:rsidRDefault="00057F5C">
      <w:pPr>
        <w:spacing w:before="200" w:after="100"/>
        <w:rPr>
          <w:sz w:val="22"/>
        </w:rPr>
      </w:pPr>
      <w:r w:rsidRPr="00CD5EEE">
        <w:rPr>
          <w:b/>
          <w:color w:val="1A1A1A"/>
          <w:sz w:val="22"/>
        </w:rPr>
        <w:t>RESUMO</w:t>
      </w:r>
    </w:p>
    <w:p w:rsidR="000B5910" w:rsidRPr="00CD5EEE" w:rsidRDefault="00057F5C" w:rsidP="00CD5EEE">
      <w:pPr>
        <w:spacing w:after="80" w:line="240" w:lineRule="auto"/>
        <w:jc w:val="both"/>
        <w:rPr>
          <w:sz w:val="22"/>
        </w:rPr>
      </w:pPr>
      <w:r w:rsidRPr="00CD5EEE">
        <w:rPr>
          <w:b/>
          <w:color w:val="1A1A1A"/>
          <w:sz w:val="22"/>
        </w:rPr>
        <w:t>Introdução:</w:t>
      </w:r>
      <w:r w:rsidRPr="00CD5EEE">
        <w:rPr>
          <w:color w:val="1A1A1A"/>
          <w:sz w:val="22"/>
        </w:rPr>
        <w:t xml:space="preserve"> Os efeitos dos agonistas do receptor de GLP-1 sobre eventos adversos oculares ainda são incertos. Enquanto alguns estudos sugerem aumento do risco de alterações como degeneração macular relacionada à idade (DMRI) neovascular e catarata, outros demonstram possíveis efeitos protetores na DMRI atrófica e no glaucoma. </w:t>
      </w:r>
      <w:r w:rsidRPr="00CD5EEE">
        <w:rPr>
          <w:b/>
          <w:color w:val="1A1A1A"/>
          <w:sz w:val="22"/>
        </w:rPr>
        <w:t xml:space="preserve">Objetivo: </w:t>
      </w:r>
      <w:r w:rsidRPr="00CD5EEE">
        <w:rPr>
          <w:color w:val="1A1A1A"/>
          <w:sz w:val="22"/>
        </w:rPr>
        <w:t xml:space="preserve">Avaliar a incidência de doenças oculares crônicas, incluindo degeneração macular, DMRI, DMRI neovascular, glaucoma, glaucoma de ângulo aberto, catarata e cegueira, em adultos tratados com semaglutida. </w:t>
      </w:r>
      <w:r w:rsidRPr="00CD5EEE">
        <w:rPr>
          <w:b/>
          <w:color w:val="1A1A1A"/>
          <w:sz w:val="22"/>
        </w:rPr>
        <w:t xml:space="preserve">Métodos: </w:t>
      </w:r>
      <w:r w:rsidRPr="00CD5EEE">
        <w:rPr>
          <w:color w:val="1A1A1A"/>
          <w:sz w:val="22"/>
        </w:rPr>
        <w:t xml:space="preserve">Foi realizada busca nas bases MEDLINE, Embase e CENTRAL em abril de 2025, sem restrição de data ou idioma. Dois revisores independentes realizaram a triagem para identificar ensaios clínicos randomizados (ECR) que compararam semaglutida com placebo ou comparador ativo, avaliando eventos adversos oculares. Para a síntese quantitativa, utilizou-se modelo de efeitos randômico com método de variância inversa (Paule-Mandel) para estimar odds ratio (OR) e intervalo de confiança de 95% (IC95%). A heterogeneidade foi avaliada pelo I² de Higgins. O risco de viés foi avaliado com a ferramenta RoB 2.0, e a qualidade da evidência pelo sistema GRADE. A revisão foi registrada no PROSPERO (CRD42024616376) e conduzida conforme as diretrizes PRISMA. O estudo contou com apoio do FIPE-HCPA (2026-0152). </w:t>
      </w:r>
      <w:r w:rsidRPr="00CD5EEE">
        <w:rPr>
          <w:b/>
          <w:color w:val="1A1A1A"/>
          <w:sz w:val="22"/>
        </w:rPr>
        <w:t>Resultados:</w:t>
      </w:r>
      <w:r w:rsidRPr="00CD5EEE">
        <w:rPr>
          <w:color w:val="1A1A1A"/>
          <w:sz w:val="22"/>
        </w:rPr>
        <w:t xml:space="preserve"> Foram identificados 2.891 registros, dos quais 585 foram avaliados em texto completo. Foram incluídos 78 ECR (73.640 participantes). Entre os estudos, 9 reportaram degeneração macular, 6 DMRI, 4 DMRI neovascular, 26 glaucoma, 12 glaucoma de ângulo aberto, 40 catarata e 6 cegueira. A semaglutida não esteve associada a aumento ou redução do risco das doenças avaliadas: degeneração macular (OR 0,50; IC95% 0,20–1,30), DMRI (OR 1,58; IC95% 0,53–4,64), DMRI neovascular (OR 1,00; IC95% 0,23–4,40), glaucoma (OR 0,91; IC95% 0,59–1,43), glaucoma de ângulo aberto (OR 1,09; IC95% 0,45–2,64), catarata (OR 1,00; IC95% 0,84–1,18) e cegueira (OR 1,43; IC95% 0,45–4,49). A heterogeneidade foi baixa para todos os desfechos, e não houve evidência de viés de publicação. O risco global de viés foi considerado baixo. A certeza da evidência variou de baixa a moderada para a maioria dos desfechos, sendo alta apenas para catarata. </w:t>
      </w:r>
      <w:r w:rsidRPr="00CD5EEE">
        <w:rPr>
          <w:b/>
          <w:color w:val="1A1A1A"/>
          <w:sz w:val="22"/>
        </w:rPr>
        <w:t>Conclusão:</w:t>
      </w:r>
      <w:r w:rsidRPr="00CD5EEE">
        <w:rPr>
          <w:color w:val="1A1A1A"/>
          <w:sz w:val="22"/>
        </w:rPr>
        <w:t xml:space="preserve"> A semaglutida parece ter pouco ou nenhum efeito nas doenças oculares crônicas. Entretanto, são necessários estudos especificamente desenhados para avaliar esses desfechos.</w:t>
      </w:r>
    </w:p>
    <w:p w:rsidR="000B5910" w:rsidRDefault="000B5910">
      <w:pPr>
        <w:pBdr>
          <w:bottom w:val="single" w:sz="4" w:space="2" w:color="808080"/>
        </w:pBdr>
        <w:spacing w:before="120" w:after="40"/>
      </w:pPr>
    </w:p>
    <w:p w:rsidR="000B5910" w:rsidRPr="00CD5EEE" w:rsidRDefault="00057F5C" w:rsidP="00CD5EEE">
      <w:pPr>
        <w:spacing w:after="0" w:line="240" w:lineRule="auto"/>
        <w:rPr>
          <w:sz w:val="16"/>
          <w:szCs w:val="16"/>
        </w:rPr>
      </w:pPr>
      <w:r w:rsidRPr="00CD5EEE">
        <w:rPr>
          <w:color w:val="595959"/>
          <w:sz w:val="16"/>
          <w:szCs w:val="16"/>
          <w:vertAlign w:val="superscript"/>
        </w:rPr>
        <w:t>1</w:t>
      </w:r>
      <w:r w:rsidRPr="00CD5EEE">
        <w:rPr>
          <w:color w:val="595959"/>
          <w:sz w:val="16"/>
          <w:szCs w:val="16"/>
        </w:rPr>
        <w:t xml:space="preserve"> Universidade Federal do Rio Grande do Sul</w:t>
      </w:r>
    </w:p>
    <w:p w:rsidR="000B5910" w:rsidRPr="00CD5EEE" w:rsidRDefault="00057F5C" w:rsidP="00CD5EEE">
      <w:pPr>
        <w:spacing w:after="0" w:line="240" w:lineRule="auto"/>
        <w:rPr>
          <w:sz w:val="16"/>
          <w:szCs w:val="16"/>
        </w:rPr>
      </w:pPr>
      <w:r w:rsidRPr="00CD5EEE">
        <w:rPr>
          <w:color w:val="595959"/>
          <w:sz w:val="16"/>
          <w:szCs w:val="16"/>
          <w:vertAlign w:val="superscript"/>
        </w:rPr>
        <w:t>2</w:t>
      </w:r>
      <w:r w:rsidRPr="00CD5EEE">
        <w:rPr>
          <w:color w:val="595959"/>
          <w:sz w:val="16"/>
          <w:szCs w:val="16"/>
        </w:rPr>
        <w:t xml:space="preserve"> Department of Internal Medicine, Cleveland Clinic, Cleveland, Ohio</w:t>
      </w:r>
    </w:p>
    <w:p w:rsidR="000B5910" w:rsidRPr="00CD5EEE" w:rsidRDefault="00057F5C" w:rsidP="00CD5EEE">
      <w:pPr>
        <w:spacing w:after="0" w:line="240" w:lineRule="auto"/>
        <w:rPr>
          <w:sz w:val="16"/>
          <w:szCs w:val="16"/>
        </w:rPr>
      </w:pPr>
      <w:r w:rsidRPr="00CD5EEE">
        <w:rPr>
          <w:color w:val="595959"/>
          <w:sz w:val="16"/>
          <w:szCs w:val="16"/>
          <w:vertAlign w:val="superscript"/>
        </w:rPr>
        <w:t>3</w:t>
      </w:r>
      <w:r w:rsidRPr="00CD5EEE">
        <w:rPr>
          <w:color w:val="595959"/>
          <w:sz w:val="16"/>
          <w:szCs w:val="16"/>
        </w:rPr>
        <w:t xml:space="preserve"> Department of Medicine, Division of Endocrinology and Mount Sinai hospital, University of Toronto, Toronto, Ontario, Canada</w:t>
      </w:r>
    </w:p>
    <w:p w:rsidR="000B5910" w:rsidRDefault="000B5910">
      <w:pPr>
        <w:sectPr w:rsidR="000B5910">
          <w:headerReference w:type="default" r:id="rId331"/>
          <w:footerReference w:type="default" r:id="rId33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ASSOCIAÇÃO ENTRE OBESIDADE SARCOPÊNICA E RISCO CARDIOMETABÓLICO EM ADULTOS: UMA REVISÃO SISTEMÁTICA</w:t>
      </w:r>
    </w:p>
    <w:p w:rsidR="000B5910" w:rsidRPr="00CD5EEE" w:rsidRDefault="00057F5C">
      <w:pPr>
        <w:spacing w:after="40" w:line="252" w:lineRule="auto"/>
        <w:jc w:val="right"/>
        <w:rPr>
          <w:szCs w:val="21"/>
        </w:rPr>
      </w:pPr>
      <w:r w:rsidRPr="00CD5EEE">
        <w:rPr>
          <w:color w:val="1A1A1A"/>
          <w:szCs w:val="21"/>
        </w:rPr>
        <w:t>Pedro Battisti Zanin</w:t>
      </w:r>
      <w:r w:rsidRPr="00CD5EEE">
        <w:rPr>
          <w:color w:val="1A1A1A"/>
          <w:szCs w:val="21"/>
          <w:vertAlign w:val="superscript"/>
        </w:rPr>
        <w:t>1</w:t>
      </w:r>
      <w:r w:rsidRPr="00CD5EEE">
        <w:rPr>
          <w:szCs w:val="21"/>
        </w:rPr>
        <w:br/>
      </w:r>
      <w:r w:rsidRPr="00CD5EEE">
        <w:rPr>
          <w:color w:val="1A1A1A"/>
          <w:szCs w:val="21"/>
        </w:rPr>
        <w:t>João Henrique Marques Pires Sasso</w:t>
      </w:r>
      <w:r w:rsidRPr="00CD5EEE">
        <w:rPr>
          <w:color w:val="1A1A1A"/>
          <w:szCs w:val="21"/>
          <w:vertAlign w:val="superscript"/>
        </w:rPr>
        <w:t>1</w:t>
      </w:r>
      <w:r w:rsidRPr="00CD5EEE">
        <w:rPr>
          <w:szCs w:val="21"/>
        </w:rPr>
        <w:br/>
      </w:r>
      <w:r w:rsidRPr="00CD5EEE">
        <w:rPr>
          <w:color w:val="1A1A1A"/>
          <w:szCs w:val="21"/>
        </w:rPr>
        <w:t>Fernanda Rocha da Trindade</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Introdução:</w:t>
      </w:r>
      <w:r w:rsidRPr="00CD5EEE">
        <w:rPr>
          <w:color w:val="1A1A1A"/>
          <w:sz w:val="22"/>
        </w:rPr>
        <w:t xml:space="preserve"> A obesidade sarcopênica (OS), caracterizada pela coexistência de excesso de adiposidade e redução de massa muscular, representa um fenótipo de alto risco cardiometabólico. </w:t>
      </w:r>
      <w:proofErr w:type="gramStart"/>
      <w:r w:rsidRPr="00CD5EEE">
        <w:rPr>
          <w:color w:val="1A1A1A"/>
          <w:sz w:val="22"/>
        </w:rPr>
        <w:t>A</w:t>
      </w:r>
      <w:proofErr w:type="gramEnd"/>
      <w:r w:rsidRPr="00CD5EEE">
        <w:rPr>
          <w:color w:val="1A1A1A"/>
          <w:sz w:val="22"/>
        </w:rPr>
        <w:t xml:space="preserve"> interação entre inflamação crônica de baixo grau, resistência à insulina e deposição ectópica de gordura sugere impacto relevante sobre desfechos cardiovasculares e metabólicos, embora a literatura apresenta resultados ainda heterogêneos. </w:t>
      </w:r>
      <w:r w:rsidRPr="00CD5EEE">
        <w:rPr>
          <w:b/>
          <w:color w:val="1A1A1A"/>
          <w:sz w:val="22"/>
        </w:rPr>
        <w:t>Objetivo:</w:t>
      </w:r>
      <w:r w:rsidRPr="00CD5EEE">
        <w:rPr>
          <w:color w:val="1A1A1A"/>
          <w:sz w:val="22"/>
        </w:rPr>
        <w:t xml:space="preserve"> Analisar sistematicamente </w:t>
      </w:r>
      <w:proofErr w:type="gramStart"/>
      <w:r w:rsidRPr="00CD5EEE">
        <w:rPr>
          <w:color w:val="1A1A1A"/>
          <w:sz w:val="22"/>
        </w:rPr>
        <w:t>a</w:t>
      </w:r>
      <w:proofErr w:type="gramEnd"/>
      <w:r w:rsidRPr="00CD5EEE">
        <w:rPr>
          <w:color w:val="1A1A1A"/>
          <w:sz w:val="22"/>
        </w:rPr>
        <w:t xml:space="preserve"> associação entre obesidade sarcopênica e risco cardiometabólico em adultos.</w:t>
      </w:r>
      <w:r w:rsidRPr="00CD5EEE">
        <w:rPr>
          <w:b/>
          <w:color w:val="1A1A1A"/>
          <w:sz w:val="22"/>
        </w:rPr>
        <w:t xml:space="preserve"> Métodos</w:t>
      </w:r>
      <w:r w:rsidRPr="00CD5EEE">
        <w:rPr>
          <w:color w:val="1A1A1A"/>
          <w:sz w:val="22"/>
        </w:rPr>
        <w:t xml:space="preserve">: Revisão sistemática realizada na base PubMed com os descritores “sarcopenic obesity” AND “cardiovascular disease” OR “metabolic syndrome” OR “insulin resistance” OR “mortality” OR “cardiometabolic”. Foram incluídos estudos observacionais, transversais e de coorte, em adultos, publicados em língua inglesa, entre 2010 e 2026. Excluíram-se estudos pediátricos e intervenções farmacológicas ou cirúrgicas. </w:t>
      </w:r>
      <w:r w:rsidRPr="00CD5EEE">
        <w:rPr>
          <w:b/>
          <w:color w:val="1A1A1A"/>
          <w:sz w:val="22"/>
        </w:rPr>
        <w:t>Resultados:</w:t>
      </w:r>
      <w:r w:rsidRPr="00CD5EEE">
        <w:rPr>
          <w:color w:val="1A1A1A"/>
          <w:sz w:val="22"/>
        </w:rPr>
        <w:t xml:space="preserve"> Foram encontrados 338 artigos e após aplicação dos critérios de inclusão, exclusão e triagem pela leitura do título, seguida do resumo, foram incluídos 8 estudos na análise final. Estudos de coorte demonstraram associação entre OS e aumento do risco cardiovascular, com hazard ratio de até 1,40 para eventos cardiovasculares. Em análises de multimorbidade cardiometabólica, </w:t>
      </w:r>
      <w:proofErr w:type="gramStart"/>
      <w:r w:rsidRPr="00CD5EEE">
        <w:rPr>
          <w:color w:val="1A1A1A"/>
          <w:sz w:val="22"/>
        </w:rPr>
        <w:t>a</w:t>
      </w:r>
      <w:proofErr w:type="gramEnd"/>
      <w:r w:rsidRPr="00CD5EEE">
        <w:rPr>
          <w:color w:val="1A1A1A"/>
          <w:sz w:val="22"/>
        </w:rPr>
        <w:t xml:space="preserve"> OS apresentou associação independente significativa (OR 2,30). Estudos transversais evidenciaram forte associação com síndrome metabólica, com odds ratio elevados (até 11,5), além de maior inflamação sistêmica e resistência à insulina. Contudo, evidências longitudinais sugerem que </w:t>
      </w:r>
      <w:proofErr w:type="gramStart"/>
      <w:r w:rsidRPr="00CD5EEE">
        <w:rPr>
          <w:color w:val="1A1A1A"/>
          <w:sz w:val="22"/>
        </w:rPr>
        <w:t>a</w:t>
      </w:r>
      <w:proofErr w:type="gramEnd"/>
      <w:r w:rsidRPr="00CD5EEE">
        <w:rPr>
          <w:color w:val="1A1A1A"/>
          <w:sz w:val="22"/>
        </w:rPr>
        <w:t xml:space="preserve"> obesidade isolada pode ser o principal determinante do risco metabólico, apresentando maior magnitude de associação em comparação à OS. Em populações idosas, </w:t>
      </w:r>
      <w:proofErr w:type="gramStart"/>
      <w:r w:rsidRPr="00CD5EEE">
        <w:rPr>
          <w:color w:val="1A1A1A"/>
          <w:sz w:val="22"/>
        </w:rPr>
        <w:t>a</w:t>
      </w:r>
      <w:proofErr w:type="gramEnd"/>
      <w:r w:rsidRPr="00CD5EEE">
        <w:rPr>
          <w:color w:val="1A1A1A"/>
          <w:sz w:val="22"/>
        </w:rPr>
        <w:t xml:space="preserve"> OS associou-se a maior mortalidade global (HR 1,72), sem aumento consistente de mortalidade cardiovascular. A heterogeneidade dos achados está relacionada a diferenças nos critérios diagnósticos e na composição das populações estudadas. </w:t>
      </w:r>
      <w:r w:rsidRPr="00CD5EEE">
        <w:rPr>
          <w:b/>
          <w:color w:val="1A1A1A"/>
          <w:sz w:val="22"/>
        </w:rPr>
        <w:t>Conclusão:</w:t>
      </w:r>
      <w:r w:rsidRPr="00CD5EEE">
        <w:rPr>
          <w:color w:val="1A1A1A"/>
          <w:sz w:val="22"/>
        </w:rPr>
        <w:t xml:space="preserve"> A obesidade sarcopênica associa-se a maior risco cardiometabólico, especialmente em desfechos relacionados à resistência à insulina e multimorbidade. Entretanto, </w:t>
      </w:r>
      <w:proofErr w:type="gramStart"/>
      <w:r w:rsidRPr="00CD5EEE">
        <w:rPr>
          <w:color w:val="1A1A1A"/>
          <w:sz w:val="22"/>
        </w:rPr>
        <w:t>a</w:t>
      </w:r>
      <w:proofErr w:type="gramEnd"/>
      <w:r w:rsidRPr="00CD5EEE">
        <w:rPr>
          <w:color w:val="1A1A1A"/>
          <w:sz w:val="22"/>
        </w:rPr>
        <w:t xml:space="preserve"> obesidade isolada pode exercer papel predominante no risco metabólico em análises longitudinais. </w:t>
      </w:r>
      <w:proofErr w:type="gramStart"/>
      <w:r w:rsidRPr="00CD5EEE">
        <w:rPr>
          <w:color w:val="1A1A1A"/>
          <w:sz w:val="22"/>
        </w:rPr>
        <w:t>A</w:t>
      </w:r>
      <w:proofErr w:type="gramEnd"/>
      <w:r w:rsidRPr="00CD5EEE">
        <w:rPr>
          <w:color w:val="1A1A1A"/>
          <w:sz w:val="22"/>
        </w:rPr>
        <w:t xml:space="preserve"> ausência de padronização diagnóstica limita a comparabilidade entre estudos, reforçando a necessidade de investigações prospectivas robustas para melhor definição do impacto clínico da OS.</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Universidade do Vale do Taquari - Univates</w:t>
      </w:r>
    </w:p>
    <w:p w:rsidR="000B5910" w:rsidRDefault="000B5910">
      <w:pPr>
        <w:sectPr w:rsidR="000B5910">
          <w:headerReference w:type="default" r:id="rId333"/>
          <w:footerReference w:type="default" r:id="rId33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ANÁLISE DA TENDÊNCIA TEMPORAL DAS INTERNAÇÕES HOSPITALARES POR OBESIDADE NO RIO GRANDE DO SUL, BRASIL, ENTRE 2020 E 2025</w:t>
      </w:r>
    </w:p>
    <w:p w:rsidR="000B5910" w:rsidRPr="00CD5EEE" w:rsidRDefault="00057F5C">
      <w:pPr>
        <w:spacing w:after="40" w:line="252" w:lineRule="auto"/>
        <w:jc w:val="right"/>
        <w:rPr>
          <w:szCs w:val="21"/>
        </w:rPr>
      </w:pPr>
      <w:r w:rsidRPr="00CD5EEE">
        <w:rPr>
          <w:color w:val="1A1A1A"/>
          <w:szCs w:val="21"/>
        </w:rPr>
        <w:t>Larissa Rodrigues Oliveira</w:t>
      </w:r>
      <w:r w:rsidRPr="00CD5EEE">
        <w:rPr>
          <w:color w:val="1A1A1A"/>
          <w:szCs w:val="21"/>
          <w:vertAlign w:val="superscript"/>
        </w:rPr>
        <w:t>1</w:t>
      </w:r>
      <w:r w:rsidRPr="00CD5EEE">
        <w:rPr>
          <w:szCs w:val="21"/>
        </w:rPr>
        <w:br/>
      </w:r>
      <w:r w:rsidRPr="00CD5EEE">
        <w:rPr>
          <w:color w:val="1A1A1A"/>
          <w:szCs w:val="21"/>
        </w:rPr>
        <w:t>Danielle de Oliveira Souza Pecoits</w:t>
      </w:r>
      <w:r w:rsidRPr="00CD5EEE">
        <w:rPr>
          <w:color w:val="1A1A1A"/>
          <w:szCs w:val="21"/>
          <w:vertAlign w:val="superscript"/>
        </w:rPr>
        <w:t>1</w:t>
      </w:r>
      <w:r w:rsidRPr="00CD5EEE">
        <w:rPr>
          <w:szCs w:val="21"/>
        </w:rPr>
        <w:br/>
      </w:r>
      <w:r w:rsidRPr="00CD5EEE">
        <w:rPr>
          <w:color w:val="1A1A1A"/>
          <w:szCs w:val="21"/>
        </w:rPr>
        <w:t>Vinícius Toniolli</w:t>
      </w:r>
      <w:r w:rsidRPr="00CD5EEE">
        <w:rPr>
          <w:color w:val="1A1A1A"/>
          <w:szCs w:val="21"/>
          <w:vertAlign w:val="superscript"/>
        </w:rPr>
        <w:t>1</w:t>
      </w:r>
      <w:r w:rsidRPr="00CD5EEE">
        <w:rPr>
          <w:szCs w:val="21"/>
        </w:rPr>
        <w:br/>
      </w:r>
      <w:r w:rsidRPr="00CD5EEE">
        <w:rPr>
          <w:color w:val="1A1A1A"/>
          <w:szCs w:val="21"/>
        </w:rPr>
        <w:t>Amanda Julião Dias dos Santos</w:t>
      </w:r>
      <w:r w:rsidRPr="00CD5EEE">
        <w:rPr>
          <w:color w:val="1A1A1A"/>
          <w:szCs w:val="21"/>
          <w:vertAlign w:val="superscript"/>
        </w:rPr>
        <w:t>1</w:t>
      </w:r>
      <w:r w:rsidRPr="00CD5EEE">
        <w:rPr>
          <w:szCs w:val="21"/>
        </w:rPr>
        <w:br/>
      </w:r>
      <w:r w:rsidRPr="00CD5EEE">
        <w:rPr>
          <w:color w:val="1A1A1A"/>
          <w:szCs w:val="21"/>
        </w:rPr>
        <w:t>Maria Alice Souza de Oliveira Dode</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 xml:space="preserve">Introdução: </w:t>
      </w:r>
      <w:r w:rsidRPr="00CD5EEE">
        <w:rPr>
          <w:color w:val="1A1A1A"/>
          <w:sz w:val="22"/>
        </w:rPr>
        <w:t xml:space="preserve">A obesidade representa um importante problema de saúde pública global, estando associada ao aumento da morbimortalidade e da utilização de serviços de saúde. Nas últimas décadas, observa-se crescimento expressivo da prevalência da obesidade em diversos países, incluindo o Brasil. Esse aumento tem impactado diretamente os sistemas de saúde, com elevação da demanda por atendimentos ambulatoriais e hospitalares relacionados às complicações da doença. Nesse contexto, </w:t>
      </w:r>
      <w:proofErr w:type="gramStart"/>
      <w:r w:rsidRPr="00CD5EEE">
        <w:rPr>
          <w:color w:val="1A1A1A"/>
          <w:sz w:val="22"/>
        </w:rPr>
        <w:t>a</w:t>
      </w:r>
      <w:proofErr w:type="gramEnd"/>
      <w:r w:rsidRPr="00CD5EEE">
        <w:rPr>
          <w:color w:val="1A1A1A"/>
          <w:sz w:val="22"/>
        </w:rPr>
        <w:t xml:space="preserve"> análise das hospitalizações associadas à obesidade permite compreender melhor o perfil epidemiológico dos pacientes e avaliar o impacto dessa condição sobre os serviços de saúde.</w:t>
      </w:r>
      <w:r w:rsidRPr="00CD5EEE">
        <w:rPr>
          <w:b/>
          <w:color w:val="1A1A1A"/>
          <w:sz w:val="22"/>
        </w:rPr>
        <w:t xml:space="preserve"> Objetivo:</w:t>
      </w:r>
      <w:r w:rsidRPr="00CD5EEE">
        <w:rPr>
          <w:color w:val="1A1A1A"/>
          <w:sz w:val="22"/>
        </w:rPr>
        <w:t xml:space="preserve"> Analisar a tendência temporal e o perfil epidemiológico das internações hospitalares por obesidade no estado do Rio Grande do Sul entre 2020 e 2025.</w:t>
      </w:r>
      <w:r w:rsidRPr="00CD5EEE">
        <w:rPr>
          <w:b/>
          <w:color w:val="1A1A1A"/>
          <w:sz w:val="22"/>
        </w:rPr>
        <w:t xml:space="preserve"> Métodos: </w:t>
      </w:r>
      <w:r w:rsidRPr="00CD5EEE">
        <w:rPr>
          <w:color w:val="1A1A1A"/>
          <w:sz w:val="22"/>
        </w:rPr>
        <w:t>Estudo ecológico, retrospectivo e descritivo realizado com dados secundários provenientes do Sistema de Informações Hospitalares do Sistema Único de Saúde. Foram analisadas as internações hospitalares por obesidade (CID-10 E66) registradas no estado do Rio Grande do Sul entre 2020 e 2025. As variáveis avaliadas incluíram ano de atendimento, sexo, faixa etária, média de permanência hospitalar e mortalidade hospitalar. Os dados foram analisados por estatística descritiva.</w:t>
      </w:r>
      <w:r w:rsidRPr="00CD5EEE">
        <w:rPr>
          <w:b/>
          <w:color w:val="1A1A1A"/>
          <w:sz w:val="22"/>
        </w:rPr>
        <w:t xml:space="preserve"> Resultados: </w:t>
      </w:r>
      <w:r w:rsidRPr="00CD5EEE">
        <w:rPr>
          <w:color w:val="1A1A1A"/>
          <w:sz w:val="22"/>
        </w:rPr>
        <w:t xml:space="preserve">No período analisado foram registradas 3.929 internações hospitalares por obesidade no estado do Rio Grande do Sul. Observou-se aumento progressivo das hospitalizações ao longo dos anos, passando de 249 internações em 2020 para 1.159 em 2025. Em relação ao sexo, verificou-se predomínio marcante do sexo feminino, responsável por 86,1% das internações, enquanto o sexo masculino representou 13,9% dos casos. </w:t>
      </w:r>
      <w:proofErr w:type="gramStart"/>
      <w:r w:rsidRPr="00CD5EEE">
        <w:rPr>
          <w:color w:val="1A1A1A"/>
          <w:sz w:val="22"/>
        </w:rPr>
        <w:t>A</w:t>
      </w:r>
      <w:proofErr w:type="gramEnd"/>
      <w:r w:rsidRPr="00CD5EEE">
        <w:rPr>
          <w:color w:val="1A1A1A"/>
          <w:sz w:val="22"/>
        </w:rPr>
        <w:t xml:space="preserve"> análise da distribuição etária demonstrou maior concentração de hospitalizações em adultos de meia-idade, especialmente nas faixas de 40 a 49 anos (34,5%), 30 a 39 anos (28,2%) e 50 a 59 anos (22,4%). O tempo médio de permanência hospitalar foi de 2,5 dias. Durante o período analisado foram registrados três óbitos, correspondendo a uma taxa de mortalidade hospitalar de 0,08%.</w:t>
      </w:r>
      <w:r w:rsidRPr="00CD5EEE">
        <w:rPr>
          <w:b/>
          <w:color w:val="1A1A1A"/>
          <w:sz w:val="22"/>
        </w:rPr>
        <w:t xml:space="preserve"> Conclusão:</w:t>
      </w:r>
      <w:r w:rsidRPr="00CD5EEE">
        <w:rPr>
          <w:color w:val="1A1A1A"/>
          <w:sz w:val="22"/>
        </w:rPr>
        <w:t xml:space="preserve"> Observou-se aumento expressivo das internações hospitalares por obesidade no Rio Grande do Sul no período analisado, com predomínio em mulheres e em adultos de meia-idade. Esses achados reforçam a relevância da obesidade como problema de saúde pública e evidenciam a necessidade de estratégias de prevenção e manejo adequado da doença.</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Universidade Federal de Pelotas</w:t>
      </w:r>
    </w:p>
    <w:p w:rsidR="000B5910" w:rsidRDefault="000B5910">
      <w:pPr>
        <w:sectPr w:rsidR="000B5910">
          <w:headerReference w:type="default" r:id="rId335"/>
          <w:footerReference w:type="default" r:id="rId336"/>
          <w:pgSz w:w="12240" w:h="15840"/>
          <w:pgMar w:top="1417" w:right="1417" w:bottom="1417" w:left="1417" w:header="680" w:footer="680" w:gutter="0"/>
          <w:cols w:space="720"/>
        </w:sectPr>
      </w:pPr>
    </w:p>
    <w:p w:rsidR="000B5910" w:rsidRPr="00CD5EEE" w:rsidRDefault="00057F5C">
      <w:pPr>
        <w:spacing w:before="80" w:line="252" w:lineRule="auto"/>
        <w:jc w:val="center"/>
        <w:rPr>
          <w:sz w:val="28"/>
          <w:szCs w:val="28"/>
        </w:rPr>
      </w:pPr>
      <w:r w:rsidRPr="00CD5EEE">
        <w:rPr>
          <w:b/>
          <w:color w:val="1A1A1A"/>
          <w:sz w:val="28"/>
          <w:szCs w:val="28"/>
        </w:rPr>
        <w:lastRenderedPageBreak/>
        <w:t xml:space="preserve">EFICÁCIA DA SEMAGLUTIDA NOS DESFECHOS HEPÁTICOS DA </w:t>
      </w:r>
      <w:bookmarkStart w:id="0" w:name="_GoBack"/>
      <w:bookmarkEnd w:id="0"/>
      <w:r w:rsidRPr="00CD5EEE">
        <w:rPr>
          <w:b/>
          <w:color w:val="1A1A1A"/>
          <w:sz w:val="28"/>
          <w:szCs w:val="28"/>
        </w:rPr>
        <w:t>DOENÇA HEPÁTICA ESTEATÓTICA ASSOCIADA A DISFUNÇÃO METABÓLICA: REVISÃO SISTEMÁTICA</w:t>
      </w:r>
    </w:p>
    <w:p w:rsidR="000B5910" w:rsidRPr="00CD5EEE" w:rsidRDefault="00057F5C">
      <w:pPr>
        <w:spacing w:after="40" w:line="252" w:lineRule="auto"/>
        <w:jc w:val="right"/>
        <w:rPr>
          <w:szCs w:val="21"/>
        </w:rPr>
      </w:pPr>
      <w:r w:rsidRPr="00CD5EEE">
        <w:rPr>
          <w:color w:val="1A1A1A"/>
          <w:szCs w:val="21"/>
        </w:rPr>
        <w:t>Giovani Michelin Pacheco</w:t>
      </w:r>
      <w:r w:rsidRPr="00CD5EEE">
        <w:rPr>
          <w:color w:val="1A1A1A"/>
          <w:szCs w:val="21"/>
          <w:vertAlign w:val="superscript"/>
        </w:rPr>
        <w:t>1</w:t>
      </w:r>
      <w:r w:rsidRPr="00CD5EEE">
        <w:rPr>
          <w:szCs w:val="21"/>
        </w:rPr>
        <w:br/>
      </w:r>
      <w:r w:rsidRPr="00CD5EEE">
        <w:rPr>
          <w:color w:val="1A1A1A"/>
          <w:szCs w:val="21"/>
        </w:rPr>
        <w:t>Frederico Larré Pozzebon</w:t>
      </w:r>
      <w:r w:rsidRPr="00CD5EEE">
        <w:rPr>
          <w:color w:val="1A1A1A"/>
          <w:szCs w:val="21"/>
          <w:vertAlign w:val="superscript"/>
        </w:rPr>
        <w:t>1</w:t>
      </w:r>
      <w:r w:rsidRPr="00CD5EEE">
        <w:rPr>
          <w:szCs w:val="21"/>
        </w:rPr>
        <w:br/>
      </w:r>
      <w:r w:rsidRPr="00CD5EEE">
        <w:rPr>
          <w:color w:val="1A1A1A"/>
          <w:szCs w:val="21"/>
        </w:rPr>
        <w:t>Gustavo Treptow Cabral</w:t>
      </w:r>
      <w:r w:rsidRPr="00CD5EEE">
        <w:rPr>
          <w:color w:val="1A1A1A"/>
          <w:szCs w:val="21"/>
          <w:vertAlign w:val="superscript"/>
        </w:rPr>
        <w:t>1</w:t>
      </w:r>
      <w:r w:rsidRPr="00CD5EEE">
        <w:rPr>
          <w:szCs w:val="21"/>
        </w:rPr>
        <w:br/>
      </w:r>
      <w:r w:rsidRPr="00CD5EEE">
        <w:rPr>
          <w:color w:val="1A1A1A"/>
          <w:szCs w:val="21"/>
        </w:rPr>
        <w:t>Ana Laura Petroni</w:t>
      </w:r>
      <w:r w:rsidRPr="00CD5EEE">
        <w:rPr>
          <w:color w:val="1A1A1A"/>
          <w:szCs w:val="21"/>
          <w:vertAlign w:val="superscript"/>
        </w:rPr>
        <w:t>1</w:t>
      </w:r>
      <w:r w:rsidRPr="00CD5EEE">
        <w:rPr>
          <w:szCs w:val="21"/>
        </w:rPr>
        <w:br/>
      </w:r>
      <w:r w:rsidRPr="00CD5EEE">
        <w:rPr>
          <w:color w:val="1A1A1A"/>
          <w:szCs w:val="21"/>
        </w:rPr>
        <w:t>Eduarda Segatti Tres</w:t>
      </w:r>
      <w:r w:rsidRPr="00CD5EEE">
        <w:rPr>
          <w:color w:val="1A1A1A"/>
          <w:szCs w:val="21"/>
          <w:vertAlign w:val="superscript"/>
        </w:rPr>
        <w:t>2</w:t>
      </w:r>
      <w:r w:rsidRPr="00CD5EEE">
        <w:rPr>
          <w:szCs w:val="21"/>
        </w:rPr>
        <w:br/>
      </w:r>
      <w:r w:rsidRPr="00CD5EEE">
        <w:rPr>
          <w:color w:val="1A1A1A"/>
          <w:szCs w:val="21"/>
        </w:rPr>
        <w:t>Jivago da Fonseca Lopes</w:t>
      </w:r>
      <w:r w:rsidRPr="00CD5EEE">
        <w:rPr>
          <w:color w:val="1A1A1A"/>
          <w:szCs w:val="21"/>
          <w:vertAlign w:val="superscript"/>
        </w:rPr>
        <w:t>3</w:t>
      </w:r>
    </w:p>
    <w:p w:rsidR="000B5910" w:rsidRPr="00CD5EEE" w:rsidRDefault="00057F5C">
      <w:pPr>
        <w:spacing w:before="200" w:after="100"/>
        <w:rPr>
          <w:sz w:val="22"/>
        </w:rPr>
      </w:pPr>
      <w:r w:rsidRPr="00CD5EEE">
        <w:rPr>
          <w:b/>
          <w:color w:val="1A1A1A"/>
          <w:sz w:val="22"/>
        </w:rPr>
        <w:t>RESUMO</w:t>
      </w:r>
    </w:p>
    <w:p w:rsidR="000B5910" w:rsidRPr="00CD5EEE" w:rsidRDefault="00057F5C">
      <w:pPr>
        <w:spacing w:after="80" w:line="264" w:lineRule="auto"/>
        <w:jc w:val="both"/>
        <w:rPr>
          <w:sz w:val="22"/>
        </w:rPr>
      </w:pPr>
      <w:r w:rsidRPr="00CD5EEE">
        <w:rPr>
          <w:b/>
          <w:color w:val="1A1A1A"/>
          <w:sz w:val="22"/>
        </w:rPr>
        <w:t>Introdução:</w:t>
      </w:r>
      <w:r w:rsidRPr="00CD5EEE">
        <w:rPr>
          <w:color w:val="1A1A1A"/>
          <w:sz w:val="22"/>
        </w:rPr>
        <w:t xml:space="preserve"> A doença hepática esteatótica associada à disfunção metabólica (MASLD) é uma das hepatopatias crônicas mais prevalentes, especialmente em indivíduos com fatores de risco da síndrome metabólica, como diabetes mellitus e obesidade. Entre os agonistas do receptor do peptídeo semelhante ao glucagon tipo 1 (GLP-1), a semaglutida associa-se a potenciais benefícios hepáticos. </w:t>
      </w:r>
      <w:r w:rsidRPr="00CD5EEE">
        <w:rPr>
          <w:b/>
          <w:color w:val="1A1A1A"/>
          <w:sz w:val="22"/>
        </w:rPr>
        <w:t>Objetivo:</w:t>
      </w:r>
      <w:r w:rsidRPr="00CD5EEE">
        <w:rPr>
          <w:color w:val="1A1A1A"/>
          <w:sz w:val="22"/>
        </w:rPr>
        <w:t xml:space="preserve"> Avaliar a eficácia e a segurança da semaglutida nos desfechos hepáticos de pacientes com MASLD. </w:t>
      </w:r>
      <w:r w:rsidRPr="00CD5EEE">
        <w:rPr>
          <w:b/>
          <w:color w:val="1A1A1A"/>
          <w:sz w:val="22"/>
        </w:rPr>
        <w:t>Métodos:</w:t>
      </w:r>
      <w:r w:rsidRPr="00CD5EEE">
        <w:rPr>
          <w:color w:val="1A1A1A"/>
          <w:sz w:val="22"/>
        </w:rPr>
        <w:t xml:space="preserve"> Realizou-se revisão sistemática nas bases PubMed e Biblioteca Virtual em Saúde (BVS), com os descritores “semaglutide” AND “MASLD”. A seleção dos estudos foi conduzida por dois revisores independentes e os dados foram extraídos de forma padronizada. Foram incluídos ensaios clínicos randomizados e estudos observacionais envolvendo adultos com MASLD em uso de semaglutida. Excluíram-se estudos sobre outros fármacos, revisões, pesquisas pediátricas ou em animais e aqueles sem desfechos hepáticos ou texto completo. Devido à heterogeneidade metodológica, realizou-se síntese qualitativa dos resultados. </w:t>
      </w:r>
      <w:r w:rsidRPr="00CD5EEE">
        <w:rPr>
          <w:b/>
          <w:color w:val="1A1A1A"/>
          <w:sz w:val="22"/>
        </w:rPr>
        <w:t>Resultados:</w:t>
      </w:r>
      <w:r w:rsidRPr="00CD5EEE">
        <w:rPr>
          <w:color w:val="1A1A1A"/>
          <w:sz w:val="22"/>
        </w:rPr>
        <w:t xml:space="preserve"> Dos 80 estudos identificados, 12 foram incluídos para análise final. Entre eles, houve um ensaio clínico randomizado com 1197 pacientes e estudos observacionais com amostras variáveis, incluindo dados de mundo real. A semaglutida foi avaliada em diferentes dosagens e períodos de seguimento. A maioria dos estudos analisou a redução da esteatose hepática por métodos de imagem. Observou-se melhora das transaminases e de marcadores não invasivos de fibrose, mais evidente em pacientes com maior risco basal. No entanto, os resultados quanto à regressão da fibrose foram heterogêneos. Em ensaio clínico randomizado com avaliação histológica, a dose de 2,4 mg/semana foi superior ao placebo na remissão da esteato-hepatite e na melhora da fibrose. Estudos de mundo real sugeriram associação com menor progressão para doença hepática avançada e menor mortalidade. Predominaram eventos adversos gastrointestinais, com baixa taxa de descontinuação do tratamento. </w:t>
      </w:r>
      <w:r w:rsidRPr="00CD5EEE">
        <w:rPr>
          <w:b/>
          <w:color w:val="1A1A1A"/>
          <w:sz w:val="22"/>
        </w:rPr>
        <w:t>Conclusão:</w:t>
      </w:r>
      <w:r w:rsidRPr="00CD5EEE">
        <w:rPr>
          <w:color w:val="1A1A1A"/>
          <w:sz w:val="22"/>
        </w:rPr>
        <w:t xml:space="preserve"> A semaglutida demonstra benefício consistente na redução da esteatose hepática e na melhora de parâmetros hepáticos em pacientes com MASLD. Embora resultados quanto à regressão da fibrose sejam heterogêneos, evidências histológicas reforçam seu potencial terapêutico. O perfil de segurança mostrou-se favorável. Estudos de longo prazo ainda são necessários para esclarecer seu impacto na progressão da doença.</w:t>
      </w:r>
    </w:p>
    <w:p w:rsidR="000B5910" w:rsidRDefault="000B5910">
      <w:pPr>
        <w:pBdr>
          <w:bottom w:val="single" w:sz="4" w:space="2" w:color="808080"/>
        </w:pBdr>
        <w:spacing w:before="12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Universidade Católica de Pelotas</w:t>
      </w:r>
    </w:p>
    <w:p w:rsidR="000B5910" w:rsidRPr="00CD5EEE" w:rsidRDefault="00057F5C">
      <w:pPr>
        <w:spacing w:after="0" w:line="252" w:lineRule="auto"/>
        <w:rPr>
          <w:sz w:val="16"/>
          <w:szCs w:val="16"/>
        </w:rPr>
      </w:pPr>
      <w:r w:rsidRPr="00CD5EEE">
        <w:rPr>
          <w:color w:val="595959"/>
          <w:sz w:val="16"/>
          <w:szCs w:val="16"/>
          <w:vertAlign w:val="superscript"/>
        </w:rPr>
        <w:t>2</w:t>
      </w:r>
      <w:r w:rsidRPr="00CD5EEE">
        <w:rPr>
          <w:color w:val="595959"/>
          <w:sz w:val="16"/>
          <w:szCs w:val="16"/>
        </w:rPr>
        <w:t xml:space="preserve"> Universidade de Caxias do Sul</w:t>
      </w:r>
    </w:p>
    <w:p w:rsidR="000B5910" w:rsidRPr="00CD5EEE" w:rsidRDefault="00057F5C">
      <w:pPr>
        <w:spacing w:after="0" w:line="252" w:lineRule="auto"/>
        <w:rPr>
          <w:sz w:val="16"/>
          <w:szCs w:val="16"/>
        </w:rPr>
      </w:pPr>
      <w:r w:rsidRPr="00CD5EEE">
        <w:rPr>
          <w:color w:val="595959"/>
          <w:sz w:val="16"/>
          <w:szCs w:val="16"/>
          <w:vertAlign w:val="superscript"/>
        </w:rPr>
        <w:t>3</w:t>
      </w:r>
      <w:r w:rsidRPr="00CD5EEE">
        <w:rPr>
          <w:color w:val="595959"/>
          <w:sz w:val="16"/>
          <w:szCs w:val="16"/>
        </w:rPr>
        <w:t xml:space="preserve"> Universidade Federal de Pelotas</w:t>
      </w:r>
    </w:p>
    <w:p w:rsidR="000B5910" w:rsidRDefault="000B5910">
      <w:pPr>
        <w:sectPr w:rsidR="000B5910">
          <w:headerReference w:type="default" r:id="rId337"/>
          <w:footerReference w:type="default" r:id="rId33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PREVALÊNCIA E PERFIL DO USO NÃO SUPERVISIONADO DE TERAPIA HORMONAL DE AFIRMAÇÃO DE GÊNERO (THAG) EM INDIVÍDUOS TRANS ANTES DO ACESSO A SERVIÇO ESPECIALIZADO</w:t>
      </w:r>
    </w:p>
    <w:p w:rsidR="000B5910" w:rsidRPr="00CD5EEE" w:rsidRDefault="00057F5C">
      <w:pPr>
        <w:spacing w:after="40" w:line="252" w:lineRule="auto"/>
        <w:jc w:val="right"/>
        <w:rPr>
          <w:szCs w:val="21"/>
        </w:rPr>
      </w:pPr>
      <w:r w:rsidRPr="00CD5EEE">
        <w:rPr>
          <w:color w:val="1A1A1A"/>
          <w:szCs w:val="21"/>
        </w:rPr>
        <w:t>Giulia Ferrandin</w:t>
      </w:r>
      <w:r w:rsidRPr="00CD5EEE">
        <w:rPr>
          <w:color w:val="1A1A1A"/>
          <w:szCs w:val="21"/>
          <w:vertAlign w:val="superscript"/>
        </w:rPr>
        <w:t>1</w:t>
      </w:r>
      <w:r w:rsidRPr="00CD5EEE">
        <w:rPr>
          <w:szCs w:val="21"/>
        </w:rPr>
        <w:br/>
      </w:r>
      <w:r w:rsidRPr="00CD5EEE">
        <w:rPr>
          <w:color w:val="1A1A1A"/>
          <w:szCs w:val="21"/>
        </w:rPr>
        <w:t>Eduarda Maiochi</w:t>
      </w:r>
      <w:r w:rsidRPr="00CD5EEE">
        <w:rPr>
          <w:color w:val="1A1A1A"/>
          <w:szCs w:val="21"/>
          <w:vertAlign w:val="superscript"/>
        </w:rPr>
        <w:t>1</w:t>
      </w:r>
      <w:r w:rsidRPr="00CD5EEE">
        <w:rPr>
          <w:szCs w:val="21"/>
        </w:rPr>
        <w:br/>
      </w:r>
      <w:r w:rsidRPr="00CD5EEE">
        <w:rPr>
          <w:color w:val="1A1A1A"/>
          <w:szCs w:val="21"/>
        </w:rPr>
        <w:t>Wellington Sanchez Abdou</w:t>
      </w:r>
      <w:r w:rsidRPr="00CD5EEE">
        <w:rPr>
          <w:color w:val="1A1A1A"/>
          <w:szCs w:val="21"/>
          <w:vertAlign w:val="superscript"/>
        </w:rPr>
        <w:t>1</w:t>
      </w:r>
      <w:r w:rsidRPr="00CD5EEE">
        <w:rPr>
          <w:szCs w:val="21"/>
        </w:rPr>
        <w:br/>
      </w:r>
      <w:r w:rsidRPr="00CD5EEE">
        <w:rPr>
          <w:color w:val="1A1A1A"/>
          <w:szCs w:val="21"/>
        </w:rPr>
        <w:t>Anita Lavarda Scheinpflug</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Introdução:</w:t>
      </w:r>
      <w:r w:rsidRPr="00CD5EEE">
        <w:rPr>
          <w:color w:val="1A1A1A"/>
          <w:sz w:val="22"/>
        </w:rPr>
        <w:t xml:space="preserve"> A incongruência entre o gênero vivenciado e o sexo atribuído ao nascimento pode estar associada a sofrimento psíquico significativo, levando muitas pessoas trans a buscar intervenções em saúde voltadas à afirmação de gênero. Embora cerca de 1,9% da população adulta brasileira se identifique como transgênero ou não binária, o acesso a serviços especializados permanece limitado, frequentemente marcado por estigma social, desigualdades e barreiras institucionais. Nesse contexto, é predominante início da terapia hormonal de afirmação de gênero (THAG) sem acompanhamento médico adequado, expondo essa população a riscos clínicos e à ausência de suporte psicossocial estruturado. </w:t>
      </w:r>
      <w:r w:rsidRPr="00CD5EEE">
        <w:rPr>
          <w:b/>
          <w:color w:val="1A1A1A"/>
          <w:sz w:val="22"/>
        </w:rPr>
        <w:t>Objetivo:</w:t>
      </w:r>
      <w:r w:rsidRPr="00CD5EEE">
        <w:rPr>
          <w:color w:val="1A1A1A"/>
          <w:sz w:val="22"/>
        </w:rPr>
        <w:t xml:space="preserve"> Este estudo teve como objetivo avaliar a prevalência do uso prévio de THAG antes do ingresso em serviço especializado na região norte do litoral catarinense, bem como caracterizar o perfil clínico da população atendida. </w:t>
      </w:r>
      <w:r w:rsidRPr="00CD5EEE">
        <w:rPr>
          <w:b/>
          <w:color w:val="1A1A1A"/>
          <w:sz w:val="22"/>
        </w:rPr>
        <w:t>Métodos:</w:t>
      </w:r>
      <w:r w:rsidRPr="00CD5EEE">
        <w:rPr>
          <w:color w:val="1A1A1A"/>
          <w:sz w:val="22"/>
        </w:rPr>
        <w:t xml:space="preserve"> Trata-se de estudo quantitativo, descritivo, retrospectivo e transversal, com análise de 125 prontuários de pessoas trans atendidas no serviço, utilizando estatística descritiva. </w:t>
      </w:r>
      <w:r w:rsidRPr="00CD5EEE">
        <w:rPr>
          <w:b/>
          <w:color w:val="1A1A1A"/>
          <w:sz w:val="22"/>
        </w:rPr>
        <w:t>Resultados:</w:t>
      </w:r>
      <w:r w:rsidRPr="00CD5EEE">
        <w:rPr>
          <w:color w:val="1A1A1A"/>
          <w:sz w:val="22"/>
        </w:rPr>
        <w:t xml:space="preserve"> A idade variou entre 15 e 58 anos (média 27,2 ± 9,1; mediana 25), com predomínio de adultos jovens. Quanto à identidade de gênero, 65 participantes (52,0%) se identificavam como homens trans, 52 (41,6%) como mulheres trans e 8 (6,4%) como não binários. Em relação ao acesso, 56 (44,8%) foram encaminhados por outros serviços de saúde e 69 (55,2%) procuraram atendimento por demanda espontânea. A principal motivação foi o início ou acompanhamento da THAG, relatada por 104 participantes (83%). No primeiro atendimento, 58 participantes (46,4%) já utilizavam THAG, enquanto 67 (53,6%) ainda não haviam iniciado tratamento. Entre usuários prévios, foram identificados diferentes esquemas hormonais, incluindo regimes não recomendados, como </w:t>
      </w:r>
      <w:proofErr w:type="gramStart"/>
      <w:r w:rsidRPr="00CD5EEE">
        <w:rPr>
          <w:color w:val="1A1A1A"/>
          <w:sz w:val="22"/>
        </w:rPr>
        <w:t>a</w:t>
      </w:r>
      <w:proofErr w:type="gramEnd"/>
      <w:r w:rsidRPr="00CD5EEE">
        <w:rPr>
          <w:color w:val="1A1A1A"/>
          <w:sz w:val="22"/>
        </w:rPr>
        <w:t xml:space="preserve"> associação de estrógenos e progestágenos em mulheres trans. Quase metade da amostra já havia iniciado THAG antes do primeiro contato com serviço especializado, achado consistente com outros estudos brasileiros. O predomínio de adultos jovens reforça a necessidade de estratégias precoces de acolhimento e ampliação do acesso. Até onde sabemos, este é o primeiro estudo a descrever o perfil de acesso à THAG em Santa Catarina, contribuindo para a compreensão das lacunas assistenciais regionais. </w:t>
      </w:r>
      <w:r w:rsidRPr="00CD5EEE">
        <w:rPr>
          <w:b/>
          <w:color w:val="1A1A1A"/>
          <w:sz w:val="22"/>
        </w:rPr>
        <w:t>Conclusão:</w:t>
      </w:r>
      <w:r w:rsidRPr="00CD5EEE">
        <w:rPr>
          <w:color w:val="1A1A1A"/>
          <w:sz w:val="22"/>
        </w:rPr>
        <w:t xml:space="preserve"> Esses achados reforçam a necessidade de ampliar e fortalecer a rede de atenção à saúde trans, com acompanhamento especializado, seguro e baseado em evidências.</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Universidade do Vale do Itajaí - UNIVALI</w:t>
      </w:r>
    </w:p>
    <w:p w:rsidR="000B5910" w:rsidRDefault="000B5910">
      <w:pPr>
        <w:sectPr w:rsidR="000B5910">
          <w:headerReference w:type="default" r:id="rId339"/>
          <w:footerReference w:type="default" r:id="rId340"/>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LIPODISTROFIA GENERALIZADA CONGÊNITA SEM VARIANTE PATOGÊNICA DETECTÁVEL: DESAFIO DIAGNÓSTICO E MOLECULAR</w:t>
      </w:r>
    </w:p>
    <w:p w:rsidR="000B5910" w:rsidRPr="00CD5EEE" w:rsidRDefault="00057F5C">
      <w:pPr>
        <w:spacing w:after="40" w:line="252" w:lineRule="auto"/>
        <w:jc w:val="right"/>
        <w:rPr>
          <w:szCs w:val="21"/>
        </w:rPr>
      </w:pPr>
      <w:r w:rsidRPr="00CD5EEE">
        <w:rPr>
          <w:color w:val="1A1A1A"/>
          <w:szCs w:val="21"/>
        </w:rPr>
        <w:t>Amanda de Deus Lyrio</w:t>
      </w:r>
      <w:r w:rsidRPr="00CD5EEE">
        <w:rPr>
          <w:color w:val="1A1A1A"/>
          <w:szCs w:val="21"/>
          <w:vertAlign w:val="superscript"/>
        </w:rPr>
        <w:t>1</w:t>
      </w:r>
      <w:r w:rsidRPr="00CD5EEE">
        <w:rPr>
          <w:szCs w:val="21"/>
        </w:rPr>
        <w:br/>
      </w:r>
      <w:r w:rsidRPr="00CD5EEE">
        <w:rPr>
          <w:color w:val="1A1A1A"/>
          <w:szCs w:val="21"/>
        </w:rPr>
        <w:t>Alexandre Hohl</w:t>
      </w:r>
      <w:r w:rsidRPr="00CD5EEE">
        <w:rPr>
          <w:color w:val="1A1A1A"/>
          <w:szCs w:val="21"/>
          <w:vertAlign w:val="superscript"/>
        </w:rPr>
        <w:t>1</w:t>
      </w:r>
      <w:r w:rsidRPr="00CD5EEE">
        <w:rPr>
          <w:szCs w:val="21"/>
        </w:rPr>
        <w:br/>
      </w:r>
      <w:r w:rsidRPr="00CD5EEE">
        <w:rPr>
          <w:color w:val="1A1A1A"/>
          <w:szCs w:val="21"/>
        </w:rPr>
        <w:t>Simone van de Sande-Lee</w:t>
      </w:r>
      <w:r w:rsidRPr="00CD5EEE">
        <w:rPr>
          <w:color w:val="1A1A1A"/>
          <w:szCs w:val="21"/>
          <w:vertAlign w:val="superscript"/>
        </w:rPr>
        <w:t>1</w:t>
      </w:r>
      <w:r w:rsidRPr="00CD5EEE">
        <w:rPr>
          <w:szCs w:val="21"/>
        </w:rPr>
        <w:br/>
      </w:r>
      <w:r w:rsidRPr="00CD5EEE">
        <w:rPr>
          <w:color w:val="1A1A1A"/>
          <w:szCs w:val="21"/>
        </w:rPr>
        <w:t>Marcelo Fernando Ronsoni</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Apresentação do Caso</w:t>
      </w:r>
      <w:r w:rsidRPr="00CD5EEE">
        <w:rPr>
          <w:color w:val="1A1A1A"/>
          <w:sz w:val="22"/>
        </w:rPr>
        <w:t xml:space="preserve">: Homem, 30 anos, história de hipoglicemias neonatais e perda de gordura corporal generalizada desde o nascimento. Pais não consanguíneos (mãe hígida, pai com HAS, DLP e pré-DM). Sem intercorrências no período gestacional (PN 3.140g e comprimento 49 cm). DNPM normal. Hipotireoidismo primário diagnosticado aos 2 anos (em uso de levotiroxina). Nega pancreatites. Realizado na infância diagnóstico clínico de Lipodistrofia Generalizada Congênita (LGC) e acompanhado com pediatria, hepatologia e endocrinopediatria. Aos 5 anos: leptina de jejum &lt;0,2ng/ml, glicemia 77mg/dL, insulina basal 52mcU/mL e triglicerídeos 242mg/dL. Aos 20 anos: hepatoesplenomegalia, fibroscan compatível com F3 e esteatose hepática grau 3. Realizou uso de metformina e pioglitazona e, aos 26 anos, iniciado metreleptina. Ajustado dose por hiporexia, uso atual de 0,25mg/dia. Melhora metabólica e suspensão dos ADO. Ao exame: IMC 21,5 kg/m2, ausência generalizada de tecido gorduroso, ausência de coxins adiposo em mãos e pés, lesões em abdome e maléolos sugestivas de acantose. Lab: A1c 4,7%, TG 64 mg/dL, HDL 23 mg/dL, LDL 87 mg/dL. FAN 1/160 (nuclear pontilhado fino), anti músculo liso 1/20, sem outras autoimunidades. DXA: gordura corporal 6,2 kg (9%), FMI 1,96 kg/m2, VAT 27,3 cm2. Índice MMA 8,15 kg/m². Sequenciamento por painel direcionado para genes classicamente associados à LGC (incluindo AGPAT2, BSCL2, CAV1 e PTRF) negativo. Identificado, em heterozigose, VUS no gene ABCA1 (variante chr9:104.903.672 C&gt;A e chr9:104.827.115 C&gt;T). Não foi possível concluir de forma definitiva se as variantes se encontram no mesmo alelo ou em sítios distintos. Estudo de genotipagem parental identificou a VUS em heterozigose chr9:104.827.115 de origem materna e a VUS em heterozigose chr9:104.903.672 paterna. </w:t>
      </w:r>
      <w:r w:rsidRPr="00CD5EEE">
        <w:rPr>
          <w:b/>
          <w:color w:val="1A1A1A"/>
          <w:sz w:val="22"/>
        </w:rPr>
        <w:t>Discussão:</w:t>
      </w:r>
      <w:r w:rsidRPr="00CD5EEE">
        <w:rPr>
          <w:color w:val="1A1A1A"/>
          <w:sz w:val="22"/>
        </w:rPr>
        <w:t xml:space="preserve"> A ausência de variantes detectáveis nos genes classicamente descritos reforça a possibilidade de heterogeneidade genética ainda não completamente caracterizada nessa condição, embora limitações inerentes às técnicas atuais de sequenciamento devam ser consideradas. Não se pode excluir a presença de variantes estruturais, alterações em regiões regulatórias ou mutações em genes ainda não descritos. </w:t>
      </w:r>
      <w:r w:rsidRPr="00CD5EEE">
        <w:rPr>
          <w:b/>
          <w:color w:val="1A1A1A"/>
          <w:sz w:val="22"/>
        </w:rPr>
        <w:t>Considerações finais:</w:t>
      </w:r>
      <w:r w:rsidRPr="00CD5EEE">
        <w:rPr>
          <w:color w:val="1A1A1A"/>
          <w:sz w:val="22"/>
        </w:rPr>
        <w:t xml:space="preserve"> Este caso ilustra a complexidade diagnóstica da LGC e sugere heterogeneidade genética ainda não completamente definida, reforçando a necessidade de aprofundamento na investigação genética em indivíduos com fenótipo clássico e genótipo não esclarecido.</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HU-UFSC</w:t>
      </w:r>
    </w:p>
    <w:p w:rsidR="000B5910" w:rsidRDefault="000B5910">
      <w:pPr>
        <w:sectPr w:rsidR="000B5910">
          <w:headerReference w:type="default" r:id="rId341"/>
          <w:footerReference w:type="default" r:id="rId34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EFEITOS DO EXERCÍCIO FÍSICO SOBRE O FATOR NEUROTRÓFICO DERIVADO DO CÉREBRO (BRAIN- DERIVED NEUROTROPHIC FACTOR) E PARÂMETROS CARDIOMETABÓLICOS EM ADULTOS COM DOENÇAS METABÓLICAS: REVISÃO SISTEMÁTICA.</w:t>
      </w:r>
    </w:p>
    <w:p w:rsidR="000B5910" w:rsidRPr="00CD5EEE" w:rsidRDefault="00057F5C">
      <w:pPr>
        <w:spacing w:after="40" w:line="252" w:lineRule="auto"/>
        <w:jc w:val="right"/>
        <w:rPr>
          <w:szCs w:val="21"/>
        </w:rPr>
      </w:pPr>
      <w:r w:rsidRPr="00CD5EEE">
        <w:rPr>
          <w:color w:val="1A1A1A"/>
          <w:szCs w:val="21"/>
        </w:rPr>
        <w:t>Maria Luisa de Azevedo Konzen</w:t>
      </w:r>
      <w:r w:rsidRPr="00CD5EEE">
        <w:rPr>
          <w:color w:val="1A1A1A"/>
          <w:szCs w:val="21"/>
          <w:vertAlign w:val="superscript"/>
        </w:rPr>
        <w:t>1</w:t>
      </w:r>
      <w:r w:rsidRPr="00CD5EEE">
        <w:rPr>
          <w:szCs w:val="21"/>
        </w:rPr>
        <w:br/>
      </w:r>
      <w:r w:rsidRPr="00CD5EEE">
        <w:rPr>
          <w:color w:val="1A1A1A"/>
          <w:szCs w:val="21"/>
        </w:rPr>
        <w:t>Amanda De Conti Margutti</w:t>
      </w:r>
      <w:r w:rsidRPr="00CD5EEE">
        <w:rPr>
          <w:color w:val="1A1A1A"/>
          <w:szCs w:val="21"/>
          <w:vertAlign w:val="superscript"/>
        </w:rPr>
        <w:t>1</w:t>
      </w:r>
      <w:r w:rsidRPr="00CD5EEE">
        <w:rPr>
          <w:szCs w:val="21"/>
        </w:rPr>
        <w:br/>
      </w:r>
      <w:r w:rsidRPr="00CD5EEE">
        <w:rPr>
          <w:color w:val="1A1A1A"/>
          <w:szCs w:val="21"/>
        </w:rPr>
        <w:t>João Vitor Ribeiro Zonta</w:t>
      </w:r>
      <w:r w:rsidRPr="00CD5EEE">
        <w:rPr>
          <w:color w:val="1A1A1A"/>
          <w:szCs w:val="21"/>
          <w:vertAlign w:val="superscript"/>
        </w:rPr>
        <w:t>1</w:t>
      </w:r>
      <w:r w:rsidRPr="00CD5EEE">
        <w:rPr>
          <w:szCs w:val="21"/>
        </w:rPr>
        <w:br/>
      </w:r>
      <w:r w:rsidRPr="00CD5EEE">
        <w:rPr>
          <w:color w:val="1A1A1A"/>
          <w:szCs w:val="21"/>
        </w:rPr>
        <w:t>Sophia Rezende Coelho</w:t>
      </w:r>
      <w:r w:rsidRPr="00CD5EEE">
        <w:rPr>
          <w:color w:val="1A1A1A"/>
          <w:szCs w:val="21"/>
          <w:vertAlign w:val="superscript"/>
        </w:rPr>
        <w:t>1</w:t>
      </w:r>
    </w:p>
    <w:p w:rsidR="000B5910" w:rsidRDefault="00057F5C">
      <w:pPr>
        <w:spacing w:before="240" w:after="100"/>
      </w:pPr>
      <w:r>
        <w:rPr>
          <w:b/>
          <w:color w:val="1A1A1A"/>
          <w:sz w:val="22"/>
        </w:rPr>
        <w:t>RESUMO</w:t>
      </w:r>
    </w:p>
    <w:p w:rsidR="000B5910" w:rsidRPr="00CD5EEE" w:rsidRDefault="00057F5C">
      <w:pPr>
        <w:spacing w:after="80"/>
        <w:jc w:val="both"/>
        <w:rPr>
          <w:sz w:val="22"/>
        </w:rPr>
      </w:pPr>
      <w:r w:rsidRPr="00CD5EEE">
        <w:rPr>
          <w:b/>
          <w:color w:val="1A1A1A"/>
          <w:sz w:val="22"/>
        </w:rPr>
        <w:t>Introdução:</w:t>
      </w:r>
      <w:r w:rsidRPr="00CD5EEE">
        <w:rPr>
          <w:color w:val="1A1A1A"/>
          <w:sz w:val="22"/>
        </w:rPr>
        <w:t xml:space="preserve"> As doenças crônicas não transmissíveis, particularmente diabetes mellitus e doenças cardiovasculares, constituem a principal causa de mortalidade global, e estão associadas à sindrome metabólica. O fator neurotrófico derivado do cérebro tem emergido como modulador da regulação metabólica, atuando na homeostase da glicose e na sensibilidade à insulina. Evidências indicam que o exercício físico pode impactar na concentração de BDNF, sugerindo interação entre atividade física, metabolismo e saúde cerebral. </w:t>
      </w:r>
      <w:r w:rsidRPr="00CD5EEE">
        <w:rPr>
          <w:b/>
          <w:color w:val="1A1A1A"/>
          <w:sz w:val="22"/>
        </w:rPr>
        <w:t xml:space="preserve">Objetivo: </w:t>
      </w:r>
      <w:r w:rsidRPr="00CD5EEE">
        <w:rPr>
          <w:color w:val="1A1A1A"/>
          <w:sz w:val="22"/>
        </w:rPr>
        <w:t>Analisar as evidências científicas sobre os efeitos do exercício fisico nas concentrações de BDNF e sua associação com parâmetros metabólicos e cardiometabólicos em adultos com doenças metabólicas.</w:t>
      </w:r>
      <w:r w:rsidRPr="00CD5EEE">
        <w:rPr>
          <w:b/>
          <w:color w:val="1A1A1A"/>
          <w:sz w:val="22"/>
        </w:rPr>
        <w:t xml:space="preserve"> Métodos:</w:t>
      </w:r>
      <w:r w:rsidRPr="00CD5EEE">
        <w:rPr>
          <w:color w:val="1A1A1A"/>
          <w:sz w:val="22"/>
        </w:rPr>
        <w:t xml:space="preserve"> Foi realizada revisão sistemática na base PubMed utilizando os descritores "Brain-Derived Neurotrophic Factor", "exercise" e "metabolic syndrome", combinados por operadores booleanos. Foram incluídos artigos cientificos publicados entre 2021 e 2026. disponíveis na integra. Foram excluídos estudos em animais, revisões narrativas e duplicatas. A seleção foi realizada por dois revisores independentes. </w:t>
      </w:r>
      <w:r w:rsidRPr="00CD5EEE">
        <w:rPr>
          <w:b/>
          <w:color w:val="1A1A1A"/>
          <w:sz w:val="22"/>
        </w:rPr>
        <w:t>Resultados:</w:t>
      </w:r>
      <w:r w:rsidRPr="00CD5EEE">
        <w:rPr>
          <w:color w:val="1A1A1A"/>
          <w:sz w:val="22"/>
        </w:rPr>
        <w:t xml:space="preserve"> Dos 35 registros identificados, 17 foram selecionados para leitura dos resumos, resultando na inclusão final de sete. Consistentemente, demonstrou-se associação entre a prática de exercício fisico e a modulação positiva dos níveis de BDNF, acompanhado por melhora de parâmetros cardiometabólicos. Indivíduos com doenças metabólicas frequentemente apresentaram niveis basais reduzidos desse fator neurotrófico, o qual se correlacionou negativamente a marcadores metabólicos adversos. Estudos envolvendo indivíduos com obesidade demonstraram aumento agudo do BDNF após exercicio aeróbico e treinamento intervalado de alta intensidade. Em individuos com pré-diabetes, programas de curta duração foram associados à melhora da sensibilidade à insulina e </w:t>
      </w:r>
      <w:proofErr w:type="gramStart"/>
      <w:r w:rsidRPr="00CD5EEE">
        <w:rPr>
          <w:color w:val="1A1A1A"/>
          <w:sz w:val="22"/>
        </w:rPr>
        <w:t>a</w:t>
      </w:r>
      <w:proofErr w:type="gramEnd"/>
      <w:r w:rsidRPr="00CD5EEE">
        <w:rPr>
          <w:color w:val="1A1A1A"/>
          <w:sz w:val="22"/>
        </w:rPr>
        <w:t xml:space="preserve"> alterações em vias de sinalização neuronal relacionadas ao BDNF. Pacientes com doença arterial coronariana submetidos a programas estruturados de treinamento fisico apresentaram elevação das concentrações de BDNF com melhora da capacidade cardiorrespiratória</w:t>
      </w:r>
      <w:r w:rsidRPr="00CD5EEE">
        <w:rPr>
          <w:b/>
          <w:color w:val="1A1A1A"/>
          <w:sz w:val="22"/>
        </w:rPr>
        <w:t>. Conclusão</w:t>
      </w:r>
      <w:r w:rsidRPr="00CD5EEE">
        <w:rPr>
          <w:color w:val="1A1A1A"/>
          <w:sz w:val="22"/>
        </w:rPr>
        <w:t xml:space="preserve">: O exercício fisico promove aumento da concentração sistêmica de BDNF e melhora parâmetros cardiometabólicos. Esses achados sugerem que o BDNF pode atuar como biomarcador relevante na compreensão dos mecanismos pelos quais </w:t>
      </w:r>
      <w:proofErr w:type="gramStart"/>
      <w:r w:rsidRPr="00CD5EEE">
        <w:rPr>
          <w:color w:val="1A1A1A"/>
          <w:sz w:val="22"/>
        </w:rPr>
        <w:t>a</w:t>
      </w:r>
      <w:proofErr w:type="gramEnd"/>
      <w:r w:rsidRPr="00CD5EEE">
        <w:rPr>
          <w:color w:val="1A1A1A"/>
          <w:sz w:val="22"/>
        </w:rPr>
        <w:t xml:space="preserve"> atividade fisica exerce efeitos benéficos em indivíduos com doenças metabólicas.</w:t>
      </w:r>
    </w:p>
    <w:p w:rsidR="000B5910" w:rsidRDefault="000B5910">
      <w:pPr>
        <w:pBdr>
          <w:bottom w:val="single" w:sz="4" w:space="2" w:color="808080"/>
        </w:pBdr>
        <w:spacing w:before="160" w:after="40"/>
      </w:pPr>
    </w:p>
    <w:p w:rsidR="000B5910" w:rsidRPr="00CD5EEE" w:rsidRDefault="00057F5C">
      <w:pPr>
        <w:spacing w:after="0" w:line="252" w:lineRule="auto"/>
        <w:rPr>
          <w:sz w:val="16"/>
          <w:szCs w:val="16"/>
        </w:rPr>
      </w:pPr>
      <w:r w:rsidRPr="00CD5EEE">
        <w:rPr>
          <w:color w:val="595959"/>
          <w:sz w:val="16"/>
          <w:szCs w:val="16"/>
          <w:vertAlign w:val="superscript"/>
        </w:rPr>
        <w:t>1</w:t>
      </w:r>
      <w:r w:rsidRPr="00CD5EEE">
        <w:rPr>
          <w:color w:val="595959"/>
          <w:sz w:val="16"/>
          <w:szCs w:val="16"/>
        </w:rPr>
        <w:t xml:space="preserve"> medicina@univates.br</w:t>
      </w:r>
    </w:p>
    <w:p w:rsidR="000B5910" w:rsidRDefault="000B5910">
      <w:pPr>
        <w:sectPr w:rsidR="000B5910">
          <w:headerReference w:type="default" r:id="rId343"/>
          <w:footerReference w:type="default" r:id="rId344"/>
          <w:pgSz w:w="12240" w:h="15840"/>
          <w:pgMar w:top="1417" w:right="1417" w:bottom="1417" w:left="1417" w:header="680" w:footer="680" w:gutter="0"/>
          <w:cols w:space="720"/>
        </w:sectPr>
      </w:pPr>
    </w:p>
    <w:p w:rsidR="000B5910" w:rsidRPr="000D5001" w:rsidRDefault="00057F5C">
      <w:pPr>
        <w:spacing w:before="80" w:line="252" w:lineRule="auto"/>
        <w:jc w:val="center"/>
        <w:rPr>
          <w:sz w:val="22"/>
        </w:rPr>
      </w:pPr>
      <w:r w:rsidRPr="000D5001">
        <w:rPr>
          <w:b/>
          <w:color w:val="1A1A1A"/>
          <w:sz w:val="28"/>
        </w:rPr>
        <w:lastRenderedPageBreak/>
        <w:t>INTERNAÇÕES POR TRANSTORNOS ENDÓCRINOS, NUTRICIONAIS E METABÓLICOS RAROS NO BRASIL E NO RIO GRANDE DO SUL NO PERÍODO PÓS-PANDEMIA (2015–2025): UMA ANÁLISE EPIDEMIOLÓGICA E HIPÓTESES A PARTIR DE DADOS DO SIH-SUS</w:t>
      </w:r>
    </w:p>
    <w:p w:rsidR="000B5910" w:rsidRPr="000D5001" w:rsidRDefault="00057F5C">
      <w:pPr>
        <w:spacing w:after="40" w:line="252" w:lineRule="auto"/>
        <w:jc w:val="right"/>
        <w:rPr>
          <w:szCs w:val="21"/>
        </w:rPr>
      </w:pPr>
      <w:r w:rsidRPr="000D5001">
        <w:rPr>
          <w:color w:val="1A1A1A"/>
          <w:szCs w:val="21"/>
        </w:rPr>
        <w:t>Marco Antonio Galdino Iunes</w:t>
      </w:r>
      <w:r w:rsidRPr="000D5001">
        <w:rPr>
          <w:color w:val="1A1A1A"/>
          <w:szCs w:val="21"/>
          <w:vertAlign w:val="superscript"/>
        </w:rPr>
        <w:t>1</w:t>
      </w:r>
      <w:r w:rsidRPr="000D5001">
        <w:rPr>
          <w:szCs w:val="21"/>
        </w:rPr>
        <w:br/>
      </w:r>
      <w:r w:rsidRPr="000D5001">
        <w:rPr>
          <w:color w:val="1A1A1A"/>
          <w:szCs w:val="21"/>
        </w:rPr>
        <w:t>Matheus Rodrigues Rocha</w:t>
      </w:r>
      <w:r w:rsidRPr="000D5001">
        <w:rPr>
          <w:color w:val="1A1A1A"/>
          <w:szCs w:val="21"/>
          <w:vertAlign w:val="superscript"/>
        </w:rPr>
        <w:t>2</w:t>
      </w:r>
      <w:r w:rsidRPr="000D5001">
        <w:rPr>
          <w:szCs w:val="21"/>
        </w:rPr>
        <w:br/>
      </w:r>
      <w:r w:rsidRPr="000D5001">
        <w:rPr>
          <w:color w:val="1A1A1A"/>
          <w:szCs w:val="21"/>
        </w:rPr>
        <w:t>Henrique Klunck Mossmann</w:t>
      </w:r>
      <w:r w:rsidRPr="000D5001">
        <w:rPr>
          <w:color w:val="1A1A1A"/>
          <w:szCs w:val="21"/>
          <w:vertAlign w:val="superscript"/>
        </w:rPr>
        <w:t>1</w:t>
      </w:r>
      <w:r w:rsidRPr="000D5001">
        <w:rPr>
          <w:szCs w:val="21"/>
        </w:rPr>
        <w:br/>
      </w:r>
      <w:r w:rsidRPr="000D5001">
        <w:rPr>
          <w:color w:val="1A1A1A"/>
          <w:szCs w:val="21"/>
        </w:rPr>
        <w:t>Gustavo Otero</w:t>
      </w:r>
      <w:r w:rsidRPr="000D5001">
        <w:rPr>
          <w:color w:val="1A1A1A"/>
          <w:szCs w:val="21"/>
          <w:vertAlign w:val="superscript"/>
        </w:rPr>
        <w:t>1</w:t>
      </w:r>
      <w:r w:rsidRPr="000D5001">
        <w:rPr>
          <w:szCs w:val="21"/>
        </w:rPr>
        <w:br/>
      </w:r>
      <w:r w:rsidRPr="000D5001">
        <w:rPr>
          <w:color w:val="1A1A1A"/>
          <w:szCs w:val="21"/>
        </w:rPr>
        <w:t>Arthur Sanmartin Duraiski</w:t>
      </w:r>
      <w:r w:rsidRPr="000D5001">
        <w:rPr>
          <w:color w:val="1A1A1A"/>
          <w:szCs w:val="21"/>
          <w:vertAlign w:val="superscript"/>
        </w:rPr>
        <w:t>1</w:t>
      </w:r>
    </w:p>
    <w:p w:rsidR="000B5910" w:rsidRPr="000D5001" w:rsidRDefault="00057F5C">
      <w:pPr>
        <w:spacing w:before="200" w:after="100"/>
        <w:rPr>
          <w:sz w:val="22"/>
        </w:rPr>
      </w:pPr>
      <w:r w:rsidRPr="000D5001">
        <w:rPr>
          <w:b/>
          <w:color w:val="1A1A1A"/>
          <w:sz w:val="22"/>
        </w:rPr>
        <w:t>RESUMO</w:t>
      </w:r>
    </w:p>
    <w:p w:rsidR="000B5910" w:rsidRPr="000D5001" w:rsidRDefault="00057F5C">
      <w:pPr>
        <w:spacing w:after="80" w:line="264" w:lineRule="auto"/>
        <w:jc w:val="both"/>
        <w:rPr>
          <w:sz w:val="22"/>
        </w:rPr>
      </w:pPr>
      <w:r w:rsidRPr="000D5001">
        <w:rPr>
          <w:b/>
          <w:color w:val="1A1A1A"/>
          <w:sz w:val="22"/>
        </w:rPr>
        <w:t>Introdução:</w:t>
      </w:r>
      <w:r w:rsidRPr="000D5001">
        <w:rPr>
          <w:color w:val="1A1A1A"/>
          <w:sz w:val="22"/>
        </w:rPr>
        <w:t xml:space="preserve"> As internações do subgrupo Outros Transtornos Endócrinos, Nutricionais e Metabólicos, identificadas na ferramenta de tabulação de dados do DATASUS, reúnem diversas patologias relativamente raras ou menos rastreadas nos sistemas de saúde, incluindo desequilíbrios ácido-base, distúrbios metabólicos e endocrinopatias não classificadas em outras categorias. Apesar de sua heterogeneidade e menor visibilidade epidemiológica, essas condições podem refletir mudanças relevantes no perfil de morbidade populacional. Assim, este estudo analisa a tendência temporal das internações por esses transtornos no Brasil e no Rio Grande do Sul entre 2015 e 2025, bem como suas diferenças de progressão entre doenças mais comuns do seu capítulo CID-10 (IV). </w:t>
      </w:r>
      <w:r w:rsidRPr="000D5001">
        <w:rPr>
          <w:b/>
          <w:color w:val="1A1A1A"/>
          <w:sz w:val="22"/>
        </w:rPr>
        <w:t>Objetivo:</w:t>
      </w:r>
      <w:r w:rsidRPr="000D5001">
        <w:rPr>
          <w:color w:val="1A1A1A"/>
          <w:sz w:val="22"/>
        </w:rPr>
        <w:t xml:space="preserve"> Descrever a evolução temporal das internações por esse grupo diagnóstico no Brasil e no Rio Grande do Sul entre 2015 e 2025, comparando dados dos períodos pré-pandêmicos e pós-pandemia, bem como analisar as diferenças em relação às doenças endócrinas prevalentes. </w:t>
      </w:r>
      <w:r w:rsidRPr="000D5001">
        <w:rPr>
          <w:b/>
          <w:color w:val="1A1A1A"/>
          <w:sz w:val="22"/>
        </w:rPr>
        <w:t>Métodos</w:t>
      </w:r>
      <w:r w:rsidRPr="000D5001">
        <w:rPr>
          <w:color w:val="1A1A1A"/>
          <w:sz w:val="22"/>
        </w:rPr>
        <w:t xml:space="preserve">: Estudo epidemiológico descritivo de série temporal com dados do DATASUS. Analisaram-se internações por ano, urgência, região e faixa etária (Rio Grande do Sul). O ano de 2019 foi adotado como referência pré-pandêmica. </w:t>
      </w:r>
      <w:r w:rsidRPr="000D5001">
        <w:rPr>
          <w:b/>
          <w:color w:val="1A1A1A"/>
          <w:sz w:val="22"/>
        </w:rPr>
        <w:t>Resultados:</w:t>
      </w:r>
      <w:r w:rsidRPr="000D5001">
        <w:rPr>
          <w:color w:val="1A1A1A"/>
          <w:sz w:val="22"/>
        </w:rPr>
        <w:t xml:space="preserve"> As internações pelo grupo cresceram de 36.127 em 2019 para 64.219 em 2025 (+77,8%), com crescimento contínuo e acelerado a partir de 2022. As internações graves subiram ainda mais, apresentando um aumento de 90,1% em comparação com a referência (2019). No Rio Grande do Sul, o incremento foi de +111,0% no mesmo período, com concentração nas faixas etárias acima de 60 anos (70–79 anos: +177,4%; â‰¥80 anos: +152,1%). Em contraste, Diabetes e Obesidade juntos cresceram apenas +11,3%. O crescimento foi observado em todas as regiões do país. </w:t>
      </w:r>
      <w:r w:rsidRPr="000D5001">
        <w:rPr>
          <w:b/>
          <w:color w:val="1A1A1A"/>
          <w:sz w:val="22"/>
        </w:rPr>
        <w:t>Conclusão:</w:t>
      </w:r>
      <w:r w:rsidRPr="000D5001">
        <w:rPr>
          <w:color w:val="1A1A1A"/>
          <w:sz w:val="22"/>
        </w:rPr>
        <w:t xml:space="preserve"> O aumento mais acentuado após o período pandêmico mostra como o COVID-19 e seus impactos sociais alteraram a manifestação dos transtornos em foco do estudo. A dívida clínica gerada pela redução do atendimento ambulatorial durante a pandemia aparece como hipótese mais provável para essa diferença entre internações antes e após o período de 2020-2021, anos mais intensos do isolamento e da propagação do vírus SARS-CoV-2. Além disso, os dados do Rio Grande do Sul apontam </w:t>
      </w:r>
      <w:proofErr w:type="gramStart"/>
      <w:r w:rsidRPr="000D5001">
        <w:rPr>
          <w:color w:val="1A1A1A"/>
          <w:sz w:val="22"/>
        </w:rPr>
        <w:t>a</w:t>
      </w:r>
      <w:proofErr w:type="gramEnd"/>
      <w:r w:rsidRPr="000D5001">
        <w:rPr>
          <w:color w:val="1A1A1A"/>
          <w:sz w:val="22"/>
        </w:rPr>
        <w:t xml:space="preserve"> idade como um fator de risco para essas doenças. Mais estudos são necessários para analisar individualmente cada doença desse subgrupo, a fim de verificar as maiores contribuidoras para tais resultados.</w:t>
      </w:r>
    </w:p>
    <w:p w:rsidR="000B5910" w:rsidRDefault="000B5910">
      <w:pPr>
        <w:pBdr>
          <w:bottom w:val="single" w:sz="4" w:space="2" w:color="808080"/>
        </w:pBdr>
        <w:spacing w:before="120" w:after="40"/>
      </w:pPr>
    </w:p>
    <w:p w:rsidR="000B5910" w:rsidRPr="000D5001" w:rsidRDefault="00057F5C">
      <w:pPr>
        <w:spacing w:after="0" w:line="252" w:lineRule="auto"/>
        <w:rPr>
          <w:sz w:val="16"/>
          <w:szCs w:val="16"/>
        </w:rPr>
      </w:pPr>
      <w:r w:rsidRPr="000D5001">
        <w:rPr>
          <w:color w:val="595959"/>
          <w:sz w:val="16"/>
          <w:szCs w:val="16"/>
          <w:vertAlign w:val="superscript"/>
        </w:rPr>
        <w:t>1</w:t>
      </w:r>
      <w:r w:rsidRPr="000D5001">
        <w:rPr>
          <w:color w:val="595959"/>
          <w:sz w:val="16"/>
          <w:szCs w:val="16"/>
        </w:rPr>
        <w:t xml:space="preserve"> PUCRS</w:t>
      </w:r>
    </w:p>
    <w:p w:rsidR="000B5910" w:rsidRPr="000D5001" w:rsidRDefault="00057F5C">
      <w:pPr>
        <w:spacing w:after="0" w:line="252" w:lineRule="auto"/>
        <w:rPr>
          <w:sz w:val="16"/>
          <w:szCs w:val="16"/>
        </w:rPr>
      </w:pPr>
      <w:r w:rsidRPr="000D5001">
        <w:rPr>
          <w:color w:val="595959"/>
          <w:sz w:val="16"/>
          <w:szCs w:val="16"/>
          <w:vertAlign w:val="superscript"/>
        </w:rPr>
        <w:t>2</w:t>
      </w:r>
      <w:r w:rsidRPr="000D5001">
        <w:rPr>
          <w:color w:val="595959"/>
          <w:sz w:val="16"/>
          <w:szCs w:val="16"/>
        </w:rPr>
        <w:t xml:space="preserve"> UFRJ</w:t>
      </w:r>
    </w:p>
    <w:p w:rsidR="000B5910" w:rsidRDefault="000B5910">
      <w:pPr>
        <w:sectPr w:rsidR="000B5910">
          <w:headerReference w:type="default" r:id="rId345"/>
          <w:footerReference w:type="default" r:id="rId346"/>
          <w:pgSz w:w="12240" w:h="15840"/>
          <w:pgMar w:top="1417" w:right="1417" w:bottom="1417" w:left="1417" w:header="680" w:footer="680" w:gutter="0"/>
          <w:cols w:space="720"/>
        </w:sectPr>
      </w:pPr>
    </w:p>
    <w:p w:rsidR="000B5910" w:rsidRPr="000D5001" w:rsidRDefault="00057F5C">
      <w:pPr>
        <w:spacing w:before="80" w:line="252" w:lineRule="auto"/>
        <w:jc w:val="center"/>
        <w:rPr>
          <w:sz w:val="28"/>
          <w:szCs w:val="28"/>
        </w:rPr>
      </w:pPr>
      <w:r w:rsidRPr="000D5001">
        <w:rPr>
          <w:b/>
          <w:color w:val="1A1A1A"/>
          <w:sz w:val="28"/>
          <w:szCs w:val="28"/>
        </w:rPr>
        <w:lastRenderedPageBreak/>
        <w:t>COMPARAÇÃO DOS EFEITOS DE PROBIÓTICOS, PREBIÓTICOS E SIMBIÓTICOS NO CONTROLE METABÓLICO E INFLAMATÓRIO EM ADULTOS COM SÍNDROME METABÓLICA: UMA REVISÃO SISTEMÁTICA</w:t>
      </w:r>
    </w:p>
    <w:p w:rsidR="000B5910" w:rsidRPr="000D5001" w:rsidRDefault="00057F5C">
      <w:pPr>
        <w:spacing w:after="40" w:line="252" w:lineRule="auto"/>
        <w:jc w:val="right"/>
        <w:rPr>
          <w:szCs w:val="21"/>
        </w:rPr>
      </w:pPr>
      <w:r w:rsidRPr="000D5001">
        <w:rPr>
          <w:color w:val="1A1A1A"/>
          <w:szCs w:val="21"/>
        </w:rPr>
        <w:t>Camila Ferreira Overbeck</w:t>
      </w:r>
      <w:r w:rsidRPr="000D5001">
        <w:rPr>
          <w:color w:val="1A1A1A"/>
          <w:szCs w:val="21"/>
          <w:vertAlign w:val="superscript"/>
        </w:rPr>
        <w:t>1</w:t>
      </w:r>
      <w:r w:rsidRPr="000D5001">
        <w:rPr>
          <w:szCs w:val="21"/>
        </w:rPr>
        <w:br/>
      </w:r>
      <w:r w:rsidRPr="000D5001">
        <w:rPr>
          <w:color w:val="1A1A1A"/>
          <w:szCs w:val="21"/>
        </w:rPr>
        <w:t>Murilo Antônio Borba</w:t>
      </w:r>
      <w:r w:rsidRPr="000D5001">
        <w:rPr>
          <w:color w:val="1A1A1A"/>
          <w:szCs w:val="21"/>
          <w:vertAlign w:val="superscript"/>
        </w:rPr>
        <w:t>1</w:t>
      </w:r>
      <w:r w:rsidRPr="000D5001">
        <w:rPr>
          <w:szCs w:val="21"/>
        </w:rPr>
        <w:br/>
      </w:r>
      <w:r w:rsidRPr="000D5001">
        <w:rPr>
          <w:color w:val="1A1A1A"/>
          <w:szCs w:val="21"/>
        </w:rPr>
        <w:t>Antônia Haas Hoppe</w:t>
      </w:r>
      <w:r w:rsidRPr="000D5001">
        <w:rPr>
          <w:color w:val="1A1A1A"/>
          <w:szCs w:val="21"/>
          <w:vertAlign w:val="superscript"/>
        </w:rPr>
        <w:t>1</w:t>
      </w:r>
      <w:r w:rsidRPr="000D5001">
        <w:rPr>
          <w:szCs w:val="21"/>
        </w:rPr>
        <w:br/>
      </w:r>
      <w:r w:rsidRPr="000D5001">
        <w:rPr>
          <w:color w:val="1A1A1A"/>
          <w:szCs w:val="21"/>
        </w:rPr>
        <w:t>Lúcio Marques Leonardi</w:t>
      </w:r>
      <w:r w:rsidRPr="000D5001">
        <w:rPr>
          <w:color w:val="1A1A1A"/>
          <w:szCs w:val="21"/>
          <w:vertAlign w:val="superscript"/>
        </w:rPr>
        <w:t>1</w:t>
      </w:r>
      <w:r w:rsidRPr="000D5001">
        <w:rPr>
          <w:szCs w:val="21"/>
        </w:rPr>
        <w:br/>
      </w:r>
      <w:r w:rsidRPr="000D5001">
        <w:rPr>
          <w:color w:val="1A1A1A"/>
          <w:szCs w:val="21"/>
        </w:rPr>
        <w:t>Maria Carolina Hirsch</w:t>
      </w:r>
      <w:r w:rsidRPr="000D5001">
        <w:rPr>
          <w:color w:val="1A1A1A"/>
          <w:szCs w:val="21"/>
          <w:vertAlign w:val="superscript"/>
        </w:rPr>
        <w:t>1</w:t>
      </w:r>
      <w:r w:rsidRPr="000D5001">
        <w:rPr>
          <w:szCs w:val="21"/>
        </w:rPr>
        <w:br/>
      </w:r>
      <w:r w:rsidRPr="000D5001">
        <w:rPr>
          <w:color w:val="1A1A1A"/>
          <w:szCs w:val="21"/>
        </w:rPr>
        <w:t>Luiza Haas Jacobus</w:t>
      </w:r>
      <w:r w:rsidRPr="000D5001">
        <w:rPr>
          <w:color w:val="1A1A1A"/>
          <w:szCs w:val="21"/>
          <w:vertAlign w:val="superscript"/>
        </w:rPr>
        <w:t>1</w:t>
      </w:r>
      <w:r w:rsidRPr="000D5001">
        <w:rPr>
          <w:szCs w:val="21"/>
        </w:rPr>
        <w:br/>
      </w:r>
      <w:r w:rsidRPr="000D5001">
        <w:rPr>
          <w:color w:val="1A1A1A"/>
          <w:szCs w:val="21"/>
        </w:rPr>
        <w:t>Isabela Alles</w:t>
      </w:r>
      <w:r w:rsidRPr="000D5001">
        <w:rPr>
          <w:color w:val="1A1A1A"/>
          <w:szCs w:val="21"/>
          <w:vertAlign w:val="superscript"/>
        </w:rPr>
        <w:t>1</w:t>
      </w:r>
      <w:r w:rsidRPr="000D5001">
        <w:rPr>
          <w:szCs w:val="21"/>
        </w:rPr>
        <w:br/>
      </w:r>
      <w:r w:rsidRPr="000D5001">
        <w:rPr>
          <w:color w:val="1A1A1A"/>
          <w:szCs w:val="21"/>
        </w:rPr>
        <w:t>Vitor Petry Thiele</w:t>
      </w:r>
      <w:r w:rsidRPr="000D5001">
        <w:rPr>
          <w:color w:val="1A1A1A"/>
          <w:szCs w:val="21"/>
          <w:vertAlign w:val="superscript"/>
        </w:rPr>
        <w:t>1</w:t>
      </w:r>
      <w:r w:rsidRPr="000D5001">
        <w:rPr>
          <w:szCs w:val="21"/>
        </w:rPr>
        <w:br/>
      </w:r>
      <w:r w:rsidRPr="000D5001">
        <w:rPr>
          <w:color w:val="1A1A1A"/>
          <w:szCs w:val="21"/>
        </w:rPr>
        <w:t>Carolina Faccin Da Ros</w:t>
      </w:r>
      <w:r w:rsidRPr="000D5001">
        <w:rPr>
          <w:color w:val="1A1A1A"/>
          <w:szCs w:val="21"/>
          <w:vertAlign w:val="superscript"/>
        </w:rPr>
        <w:t>1</w:t>
      </w:r>
      <w:r w:rsidRPr="000D5001">
        <w:rPr>
          <w:szCs w:val="21"/>
        </w:rPr>
        <w:br/>
      </w:r>
      <w:r w:rsidRPr="000D5001">
        <w:rPr>
          <w:color w:val="1A1A1A"/>
          <w:szCs w:val="21"/>
        </w:rPr>
        <w:t>Roberta Herath Rascovetzki</w:t>
      </w:r>
      <w:r w:rsidRPr="000D5001">
        <w:rPr>
          <w:color w:val="1A1A1A"/>
          <w:szCs w:val="21"/>
          <w:vertAlign w:val="superscript"/>
        </w:rPr>
        <w:t>1</w:t>
      </w:r>
    </w:p>
    <w:p w:rsidR="000B5910" w:rsidRPr="000D5001" w:rsidRDefault="00057F5C" w:rsidP="000D5001">
      <w:pPr>
        <w:spacing w:before="200" w:after="100" w:line="240" w:lineRule="auto"/>
        <w:rPr>
          <w:sz w:val="22"/>
        </w:rPr>
      </w:pPr>
      <w:r w:rsidRPr="000D5001">
        <w:rPr>
          <w:b/>
          <w:color w:val="1A1A1A"/>
          <w:sz w:val="22"/>
        </w:rPr>
        <w:t>RESUMO</w:t>
      </w:r>
    </w:p>
    <w:p w:rsidR="000B5910" w:rsidRPr="000D5001" w:rsidRDefault="00057F5C" w:rsidP="000D5001">
      <w:pPr>
        <w:spacing w:after="80" w:line="240" w:lineRule="auto"/>
        <w:jc w:val="both"/>
        <w:rPr>
          <w:sz w:val="22"/>
        </w:rPr>
      </w:pPr>
      <w:r w:rsidRPr="000D5001">
        <w:rPr>
          <w:b/>
          <w:color w:val="1A1A1A"/>
          <w:sz w:val="22"/>
        </w:rPr>
        <w:t>Introdução:</w:t>
      </w:r>
      <w:r w:rsidRPr="000D5001">
        <w:rPr>
          <w:color w:val="1A1A1A"/>
          <w:sz w:val="22"/>
        </w:rPr>
        <w:t xml:space="preserve"> A Síndrome Metabólica (MetS) caracteriza-se por resistência insulínica e inflamação sistêmica de baixo grau, associadas à disbiose da microbiota intestinal. Dessa forma, a modulação da microbiota com probióticos, prebióticos e simbióticos surge como estratégia terapêutica promissora para o controle metabólico e inflamatório. </w:t>
      </w:r>
      <w:r w:rsidRPr="000D5001">
        <w:rPr>
          <w:b/>
          <w:color w:val="1A1A1A"/>
          <w:sz w:val="22"/>
        </w:rPr>
        <w:t>Objetivo</w:t>
      </w:r>
      <w:r w:rsidRPr="000D5001">
        <w:rPr>
          <w:color w:val="1A1A1A"/>
          <w:sz w:val="22"/>
        </w:rPr>
        <w:t xml:space="preserve">: Comparar os efeitos metabólicos e inflamatórios de probióticos, prebióticos e simbióticos em adultos com MetS. </w:t>
      </w:r>
      <w:r w:rsidRPr="000D5001">
        <w:rPr>
          <w:b/>
          <w:color w:val="1A1A1A"/>
          <w:sz w:val="22"/>
        </w:rPr>
        <w:t>Métodos</w:t>
      </w:r>
      <w:r w:rsidRPr="000D5001">
        <w:rPr>
          <w:color w:val="1A1A1A"/>
          <w:sz w:val="22"/>
        </w:rPr>
        <w:t xml:space="preserve">: Revisão sistemática da literatura, realizada nas bases PubMed, Scopus e Embase, utilizando os descritores 'Metabolic Syndrome', 'Probiotics', 'Prebiotics' e 'Synbiotics', combinados pelo operador booleano AND. Foram incluídos ensaios clínicos randomizados conduzidos nos últimos cinco anos, com acesso aberto e íntegro. Excluíram-se estudos duplicados e sem grupo controle adequado. </w:t>
      </w:r>
      <w:r w:rsidRPr="000D5001">
        <w:rPr>
          <w:b/>
          <w:color w:val="1A1A1A"/>
          <w:sz w:val="22"/>
        </w:rPr>
        <w:t>Resultados:</w:t>
      </w:r>
      <w:r w:rsidRPr="000D5001">
        <w:rPr>
          <w:color w:val="1A1A1A"/>
          <w:sz w:val="22"/>
        </w:rPr>
        <w:t xml:space="preserve"> Foram incluídos 11 ensaios clínicos randomizados. As intervenções com probióticos apresentaram redução da glicemia de jejum (-5 a -15 mg/dL), hemoglobina glicada (-0,2 a -0,6%), insulina sérica e índice HOMA-IR, além de melhora do perfil lipídico, com diminuição do LDL (-15 a -40 mg/dL). Observou-se redução do peso corporal, circunferência abdominal e pressão arterial sistólica. Os prebióticos demonstraram efeito anti-inflamatório, com redução da proteína C reativa ultrassensível, mesmo sem alterações significativas nos parâmetros glicêmicos e lipídicos, associada à modulação da microbiota intestinal e ao aumento da produção de ácidos graxos de cadeia curta. As intervenções simbióticas promoveram melhora do metabolismo glicídico e da resistência à insulina, com redução da glicemia de jejum e HOMA-IR, além de diminuição da adiposidade central e da pressão arterial sistólica. Efeitos sobre o perfil lipídico e os marcadores inflamatórios foram heterogêneos, porém clinicamente relevantes. Verificou-se aumento da diversidade microbiana e modulação de vias relacionadas à homeostase glicídica, lipídica e inflamatória.</w:t>
      </w:r>
      <w:r w:rsidRPr="000D5001">
        <w:rPr>
          <w:b/>
          <w:color w:val="1A1A1A"/>
          <w:sz w:val="22"/>
        </w:rPr>
        <w:t xml:space="preserve"> Conclusão:</w:t>
      </w:r>
      <w:r w:rsidRPr="000D5001">
        <w:rPr>
          <w:color w:val="1A1A1A"/>
          <w:sz w:val="22"/>
        </w:rPr>
        <w:t xml:space="preserve"> As intervenções demonstraram benefícios no controle metabólico e inflamatório, com efeitos distintos. Probióticos apresentaram melhora do controle glicêmico e do perfil lipídico; prebióticos destacaram-se pelo efeito anti-inflamatório; e simbióticos promoveram melhora do metabolismo glicídico e da resistência à insulina, com resultados heterogêneos nos demais desfechos. Esses achados evidenciam a modulação da microbiota intestinal como estratégia terapêutica complementar no manejo da MetS.</w:t>
      </w:r>
    </w:p>
    <w:p w:rsidR="000B5910" w:rsidRDefault="000B5910" w:rsidP="000D5001">
      <w:pPr>
        <w:pBdr>
          <w:bottom w:val="single" w:sz="4" w:space="2" w:color="808080"/>
        </w:pBdr>
        <w:spacing w:before="120" w:after="40" w:line="240" w:lineRule="auto"/>
      </w:pPr>
    </w:p>
    <w:p w:rsidR="000B5910" w:rsidRDefault="00057F5C" w:rsidP="000D5001">
      <w:pPr>
        <w:spacing w:after="0" w:line="240" w:lineRule="auto"/>
      </w:pPr>
      <w:r>
        <w:rPr>
          <w:color w:val="595959"/>
          <w:sz w:val="13"/>
          <w:vertAlign w:val="superscript"/>
        </w:rPr>
        <w:t>1</w:t>
      </w:r>
      <w:r>
        <w:rPr>
          <w:color w:val="595959"/>
          <w:sz w:val="16"/>
        </w:rPr>
        <w:t xml:space="preserve"> Universidade de Santa Cruz do Sul (UNISC</w:t>
      </w:r>
    </w:p>
    <w:p w:rsidR="000B5910" w:rsidRDefault="000B5910">
      <w:pPr>
        <w:sectPr w:rsidR="000B5910">
          <w:headerReference w:type="default" r:id="rId347"/>
          <w:footerReference w:type="default" r:id="rId348"/>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SÍNDROME DE CUSHING: DECORRÊNCIA POR USO DE SUPLEMENTO IMPORTADO CONTAMINADO</w:t>
      </w:r>
    </w:p>
    <w:p w:rsidR="000B5910" w:rsidRPr="000D5001" w:rsidRDefault="00057F5C">
      <w:pPr>
        <w:spacing w:after="40" w:line="252" w:lineRule="auto"/>
        <w:jc w:val="right"/>
        <w:rPr>
          <w:szCs w:val="21"/>
        </w:rPr>
      </w:pPr>
      <w:r w:rsidRPr="000D5001">
        <w:rPr>
          <w:color w:val="1A1A1A"/>
          <w:szCs w:val="21"/>
        </w:rPr>
        <w:t>Manoela Palandi</w:t>
      </w:r>
      <w:r w:rsidRPr="000D5001">
        <w:rPr>
          <w:color w:val="1A1A1A"/>
          <w:szCs w:val="21"/>
          <w:vertAlign w:val="superscript"/>
        </w:rPr>
        <w:t>1</w:t>
      </w:r>
      <w:r w:rsidRPr="000D5001">
        <w:rPr>
          <w:szCs w:val="21"/>
        </w:rPr>
        <w:br/>
      </w:r>
      <w:r w:rsidRPr="000D5001">
        <w:rPr>
          <w:color w:val="1A1A1A"/>
          <w:szCs w:val="21"/>
        </w:rPr>
        <w:t>Catharina Accorsi</w:t>
      </w:r>
      <w:r w:rsidRPr="000D5001">
        <w:rPr>
          <w:color w:val="1A1A1A"/>
          <w:szCs w:val="21"/>
          <w:vertAlign w:val="superscript"/>
        </w:rPr>
        <w:t>1</w:t>
      </w:r>
      <w:r w:rsidRPr="000D5001">
        <w:rPr>
          <w:szCs w:val="21"/>
        </w:rPr>
        <w:br/>
      </w:r>
      <w:r w:rsidRPr="000D5001">
        <w:rPr>
          <w:color w:val="1A1A1A"/>
          <w:szCs w:val="21"/>
        </w:rPr>
        <w:t>Giovanna Valle</w:t>
      </w:r>
      <w:r w:rsidRPr="000D5001">
        <w:rPr>
          <w:color w:val="1A1A1A"/>
          <w:szCs w:val="21"/>
          <w:vertAlign w:val="superscript"/>
        </w:rPr>
        <w:t>1</w:t>
      </w:r>
      <w:r w:rsidRPr="000D5001">
        <w:rPr>
          <w:szCs w:val="21"/>
        </w:rPr>
        <w:br/>
      </w:r>
      <w:r w:rsidRPr="000D5001">
        <w:rPr>
          <w:color w:val="1A1A1A"/>
          <w:szCs w:val="21"/>
        </w:rPr>
        <w:t>Júlia Varella</w:t>
      </w:r>
      <w:r w:rsidRPr="000D5001">
        <w:rPr>
          <w:color w:val="1A1A1A"/>
          <w:szCs w:val="21"/>
          <w:vertAlign w:val="superscript"/>
        </w:rPr>
        <w:t>1</w:t>
      </w:r>
      <w:r w:rsidRPr="000D5001">
        <w:rPr>
          <w:szCs w:val="21"/>
        </w:rPr>
        <w:br/>
      </w:r>
      <w:r w:rsidRPr="000D5001">
        <w:rPr>
          <w:color w:val="1A1A1A"/>
          <w:szCs w:val="21"/>
        </w:rPr>
        <w:t>Luiza Azevedo</w:t>
      </w:r>
      <w:r w:rsidRPr="000D5001">
        <w:rPr>
          <w:color w:val="1A1A1A"/>
          <w:szCs w:val="21"/>
          <w:vertAlign w:val="superscript"/>
        </w:rPr>
        <w:t>1</w:t>
      </w:r>
    </w:p>
    <w:p w:rsidR="000B5910" w:rsidRDefault="00057F5C">
      <w:pPr>
        <w:spacing w:before="240" w:after="100"/>
      </w:pPr>
      <w:r>
        <w:rPr>
          <w:b/>
          <w:color w:val="1A1A1A"/>
          <w:sz w:val="22"/>
        </w:rPr>
        <w:t>RESUMO</w:t>
      </w:r>
    </w:p>
    <w:p w:rsidR="000B5910" w:rsidRPr="000D5001" w:rsidRDefault="00057F5C">
      <w:pPr>
        <w:spacing w:after="80"/>
        <w:jc w:val="both"/>
        <w:rPr>
          <w:sz w:val="22"/>
        </w:rPr>
      </w:pPr>
      <w:r w:rsidRPr="000D5001">
        <w:rPr>
          <w:b/>
          <w:color w:val="1A1A1A"/>
          <w:sz w:val="22"/>
        </w:rPr>
        <w:t>Apresentação do Caso</w:t>
      </w:r>
      <w:r w:rsidRPr="000D5001">
        <w:rPr>
          <w:color w:val="1A1A1A"/>
          <w:sz w:val="22"/>
        </w:rPr>
        <w:t xml:space="preserve">: Paciente feminina, 64 anos, procurou unidade básica de saúde por edema e hiperemia em região malar associados a ganho ponderal de 8 kg em dois meses. Inicialmente houve suspeita de lúpus eritematoso sistêmico, porém exames foram negativos.Foi iniciado tratamento para rosácea, posteriormente descartado, que levantou a hipótese de efeito adverso de corticosteróide inalatório utilizado para asma.A paciente relata uso prévio de prednisona, além de levotiroxina em dose baixa, recentemente aumentada.Referia hematomas frequentes e edema facial predominante ao despertar, com melhora ao longo do dia. Ao exame físico observou-se pletora facial e fácies em lua cheia.Foi realizada investigação para hipercortisolismo, que evidenciou cortisol livre urinário de 4,3 µg/24h e cortisol salivar noturno de 1,5 ng/mL, sugerindo supressão do eixo hipotálamo-hipófise-adrenal.Durante revisão do uso de medicamentos e suplementos, a paciente relatou ingestão recente de suplemento de colágeno tipo II de origem importada. Considerando relatos na literatura de contaminação de suplementos com corticosteróides, foi orientado a suspensão do produto. Em seguimento clínico, observou-se regressão da pletora facial e perda ponderal, reforçando a hipótese de síndrome de Cushing exógena por exposição inadvertida a corticosteróides presentes no suplemento. </w:t>
      </w:r>
      <w:r w:rsidRPr="000D5001">
        <w:rPr>
          <w:b/>
          <w:color w:val="1A1A1A"/>
          <w:sz w:val="22"/>
        </w:rPr>
        <w:t>Discussão</w:t>
      </w:r>
      <w:r w:rsidRPr="000D5001">
        <w:rPr>
          <w:color w:val="1A1A1A"/>
          <w:sz w:val="22"/>
        </w:rPr>
        <w:t xml:space="preserve">: A Síndrome de Cushing pode ser de origem endógena ou exógena.A forma exógena representa a etiologia mais frequente e geralmente está associada ao uso terapêutico de corticosteroides sistêmicos, embora também possa ocorrer por exposição inadvertida a essas substâncias.A presença de sinais clássicos, como pletora facial, fácies em lua cheia, equimoses frequentes e ganho ponderal rápido, levantou a suspeita de hipercortisolismo.No entanto, os exames laboratoriais demonstraram níveis reduzidos de cortisol, compatíveis com supressão do eixo hipotálamo-hipófise-adrenal, achado sugestivo de exposição exógena a glicocorticóides.A revisão detalhada da história medicamentosa revelou o uso recente de suplemento de colágeno importado, levantando a hipótese de contaminação por corticosteróides, situação já descrita em relatos da literatura. </w:t>
      </w:r>
      <w:r w:rsidRPr="000D5001">
        <w:rPr>
          <w:b/>
          <w:color w:val="1A1A1A"/>
          <w:sz w:val="22"/>
        </w:rPr>
        <w:t>Considerações finais:</w:t>
      </w:r>
      <w:r w:rsidRPr="000D5001">
        <w:rPr>
          <w:color w:val="1A1A1A"/>
          <w:sz w:val="22"/>
        </w:rPr>
        <w:t xml:space="preserve"> O caso reforça </w:t>
      </w:r>
      <w:proofErr w:type="gramStart"/>
      <w:r w:rsidRPr="000D5001">
        <w:rPr>
          <w:color w:val="1A1A1A"/>
          <w:sz w:val="22"/>
        </w:rPr>
        <w:t>a</w:t>
      </w:r>
      <w:proofErr w:type="gramEnd"/>
      <w:r w:rsidRPr="000D5001">
        <w:rPr>
          <w:color w:val="1A1A1A"/>
          <w:sz w:val="22"/>
        </w:rPr>
        <w:t xml:space="preserve"> importância da investigação abrangente do uso de medicamentos, fitoterápicos e suplementos em pacientes com sinais sugestivos de hipercortisolismo, especialmente diante de produtos não regulamentados ou de procedência desconhecida.</w:t>
      </w:r>
    </w:p>
    <w:p w:rsidR="000B5910" w:rsidRDefault="000B5910">
      <w:pPr>
        <w:pBdr>
          <w:bottom w:val="single" w:sz="4" w:space="2" w:color="808080"/>
        </w:pBdr>
        <w:spacing w:before="160" w:after="40"/>
      </w:pPr>
    </w:p>
    <w:p w:rsidR="000B5910" w:rsidRPr="000D5001" w:rsidRDefault="00057F5C">
      <w:pPr>
        <w:spacing w:after="0" w:line="252" w:lineRule="auto"/>
        <w:rPr>
          <w:sz w:val="16"/>
          <w:szCs w:val="16"/>
        </w:rPr>
      </w:pPr>
      <w:r w:rsidRPr="000D5001">
        <w:rPr>
          <w:color w:val="595959"/>
          <w:sz w:val="16"/>
          <w:szCs w:val="16"/>
          <w:vertAlign w:val="superscript"/>
        </w:rPr>
        <w:t>1</w:t>
      </w:r>
      <w:r w:rsidRPr="000D5001">
        <w:rPr>
          <w:color w:val="595959"/>
          <w:sz w:val="16"/>
          <w:szCs w:val="16"/>
        </w:rPr>
        <w:t xml:space="preserve"> Universidade Luterana do Brasil (ULBRA</w:t>
      </w:r>
    </w:p>
    <w:p w:rsidR="000B5910" w:rsidRDefault="000B5910">
      <w:pPr>
        <w:sectPr w:rsidR="000B5910">
          <w:headerReference w:type="default" r:id="rId349"/>
          <w:footerReference w:type="default" r:id="rId350"/>
          <w:pgSz w:w="12240" w:h="15840"/>
          <w:pgMar w:top="1417" w:right="1417" w:bottom="1417" w:left="1417" w:header="680" w:footer="680" w:gutter="0"/>
          <w:cols w:space="720"/>
        </w:sectPr>
      </w:pPr>
    </w:p>
    <w:p w:rsidR="000B5910" w:rsidRPr="000D5001" w:rsidRDefault="00057F5C">
      <w:pPr>
        <w:spacing w:before="80" w:line="252" w:lineRule="auto"/>
        <w:jc w:val="center"/>
        <w:rPr>
          <w:sz w:val="22"/>
        </w:rPr>
      </w:pPr>
      <w:r w:rsidRPr="000D5001">
        <w:rPr>
          <w:b/>
          <w:color w:val="1A1A1A"/>
          <w:sz w:val="28"/>
        </w:rPr>
        <w:lastRenderedPageBreak/>
        <w:t>TUMOR ATÍPICO DE PARATIREOIDE SIMULANDO CARCINOMA: RELATO DE CASO</w:t>
      </w:r>
    </w:p>
    <w:p w:rsidR="000B5910" w:rsidRPr="000D5001" w:rsidRDefault="00057F5C">
      <w:pPr>
        <w:spacing w:after="40" w:line="252" w:lineRule="auto"/>
        <w:jc w:val="right"/>
        <w:rPr>
          <w:szCs w:val="21"/>
        </w:rPr>
      </w:pPr>
      <w:r w:rsidRPr="000D5001">
        <w:rPr>
          <w:color w:val="1A1A1A"/>
          <w:szCs w:val="21"/>
        </w:rPr>
        <w:t>Catherine Bischoff Rauen</w:t>
      </w:r>
      <w:r w:rsidRPr="000D5001">
        <w:rPr>
          <w:color w:val="1A1A1A"/>
          <w:szCs w:val="21"/>
          <w:vertAlign w:val="superscript"/>
        </w:rPr>
        <w:t>1</w:t>
      </w:r>
      <w:r w:rsidRPr="000D5001">
        <w:rPr>
          <w:szCs w:val="21"/>
        </w:rPr>
        <w:br/>
      </w:r>
      <w:r w:rsidRPr="000D5001">
        <w:rPr>
          <w:color w:val="1A1A1A"/>
          <w:szCs w:val="21"/>
        </w:rPr>
        <w:t>Monique Vincensi Uhde</w:t>
      </w:r>
      <w:r w:rsidRPr="000D5001">
        <w:rPr>
          <w:color w:val="1A1A1A"/>
          <w:szCs w:val="21"/>
          <w:vertAlign w:val="superscript"/>
        </w:rPr>
        <w:t>1</w:t>
      </w:r>
      <w:r w:rsidRPr="000D5001">
        <w:rPr>
          <w:szCs w:val="21"/>
        </w:rPr>
        <w:br/>
      </w:r>
      <w:r w:rsidRPr="000D5001">
        <w:rPr>
          <w:color w:val="1A1A1A"/>
          <w:szCs w:val="21"/>
        </w:rPr>
        <w:t>Paula Wrasse Temp</w:t>
      </w:r>
      <w:r w:rsidRPr="000D5001">
        <w:rPr>
          <w:color w:val="1A1A1A"/>
          <w:szCs w:val="21"/>
          <w:vertAlign w:val="superscript"/>
        </w:rPr>
        <w:t>1</w:t>
      </w:r>
      <w:r w:rsidRPr="000D5001">
        <w:rPr>
          <w:szCs w:val="21"/>
        </w:rPr>
        <w:br/>
      </w:r>
      <w:r w:rsidRPr="000D5001">
        <w:rPr>
          <w:color w:val="1A1A1A"/>
          <w:szCs w:val="21"/>
        </w:rPr>
        <w:t>Amanda Milena de Melo</w:t>
      </w:r>
      <w:r w:rsidRPr="000D5001">
        <w:rPr>
          <w:color w:val="1A1A1A"/>
          <w:szCs w:val="21"/>
          <w:vertAlign w:val="superscript"/>
        </w:rPr>
        <w:t>1</w:t>
      </w:r>
      <w:r w:rsidRPr="000D5001">
        <w:rPr>
          <w:szCs w:val="21"/>
        </w:rPr>
        <w:br/>
      </w:r>
      <w:r w:rsidRPr="000D5001">
        <w:rPr>
          <w:color w:val="1A1A1A"/>
          <w:szCs w:val="21"/>
        </w:rPr>
        <w:t>João Victor Homrich Ziembowicz</w:t>
      </w:r>
      <w:r w:rsidRPr="000D5001">
        <w:rPr>
          <w:color w:val="1A1A1A"/>
          <w:szCs w:val="21"/>
          <w:vertAlign w:val="superscript"/>
        </w:rPr>
        <w:t>1</w:t>
      </w:r>
      <w:r w:rsidRPr="000D5001">
        <w:rPr>
          <w:szCs w:val="21"/>
        </w:rPr>
        <w:br/>
      </w:r>
      <w:r w:rsidRPr="000D5001">
        <w:rPr>
          <w:color w:val="1A1A1A"/>
          <w:szCs w:val="21"/>
        </w:rPr>
        <w:t>Dennis Baroni Cruz</w:t>
      </w:r>
      <w:r w:rsidRPr="000D5001">
        <w:rPr>
          <w:color w:val="1A1A1A"/>
          <w:szCs w:val="21"/>
          <w:vertAlign w:val="superscript"/>
        </w:rPr>
        <w:t>1</w:t>
      </w:r>
    </w:p>
    <w:p w:rsidR="000B5910" w:rsidRPr="000D5001" w:rsidRDefault="00057F5C">
      <w:pPr>
        <w:spacing w:before="200" w:after="100"/>
        <w:rPr>
          <w:sz w:val="22"/>
        </w:rPr>
      </w:pPr>
      <w:r w:rsidRPr="000D5001">
        <w:rPr>
          <w:b/>
          <w:color w:val="1A1A1A"/>
          <w:sz w:val="22"/>
        </w:rPr>
        <w:t>RESUMO</w:t>
      </w:r>
    </w:p>
    <w:p w:rsidR="000B5910" w:rsidRPr="000D5001" w:rsidRDefault="00057F5C">
      <w:pPr>
        <w:spacing w:after="80" w:line="264" w:lineRule="auto"/>
        <w:jc w:val="both"/>
        <w:rPr>
          <w:sz w:val="22"/>
        </w:rPr>
      </w:pPr>
      <w:r w:rsidRPr="000D5001">
        <w:rPr>
          <w:b/>
          <w:color w:val="1A1A1A"/>
          <w:sz w:val="22"/>
        </w:rPr>
        <w:t>Apresentação do Caso:</w:t>
      </w:r>
      <w:r w:rsidRPr="000D5001">
        <w:rPr>
          <w:color w:val="1A1A1A"/>
          <w:sz w:val="22"/>
        </w:rPr>
        <w:t xml:space="preserve"> Paciente do sexo feminino, 53 anos, apresentava queixas de fadiga, náuseas e constipação, associadas à osteoporose e à dor óssea recorrente. Exames laboratoriais evidenciaram elevação significativa do paratormônio (1000 pg/mL) e do cálcio sérico (14 mg/dL). Assim, formulou-se inicialmente a hipótese de carcinoma de paratireoide, sendo indicada abordagem cirúrgica com tireoidectomia parcial esquerda e paratireoidectomia ipsilateral. Durante o procedimento, entretanto, o aspecto macroscópico da lesão assemelhava-se ao de adenoma, tornando indispensável </w:t>
      </w:r>
      <w:proofErr w:type="gramStart"/>
      <w:r w:rsidRPr="000D5001">
        <w:rPr>
          <w:color w:val="1A1A1A"/>
          <w:sz w:val="22"/>
        </w:rPr>
        <w:t>a</w:t>
      </w:r>
      <w:proofErr w:type="gramEnd"/>
      <w:r w:rsidRPr="000D5001">
        <w:rPr>
          <w:color w:val="1A1A1A"/>
          <w:sz w:val="22"/>
        </w:rPr>
        <w:t xml:space="preserve"> análise anatomopatológica. O exame revelou neoplasia delimitada composta por células principais, com pleomorfismo nuclear, arquitetura trabecular e fibrose intratumoral, porém sem evidências de invasão capsular, angiolinfática ou perineural. À imuno-histoquímica, índice proliferativo Ki-67 de 10%. Diante dos achados, a lesão foi classificada como tumor atípico de paratireoide. </w:t>
      </w:r>
      <w:r w:rsidRPr="000D5001">
        <w:rPr>
          <w:b/>
          <w:color w:val="1A1A1A"/>
          <w:sz w:val="22"/>
        </w:rPr>
        <w:t>Discussão:</w:t>
      </w:r>
      <w:r w:rsidRPr="000D5001">
        <w:rPr>
          <w:color w:val="1A1A1A"/>
          <w:sz w:val="22"/>
        </w:rPr>
        <w:t xml:space="preserve"> Classificado recentemente pela Organização Mundial da Saúde, o tumor atípico de paratireoide define uma neoplasia de comportamento biológico incerto, com características intermediárias entre adenoma benigno e carcinoma. Enquanto os adenomas representam 85% dos tumores paratireóideos e os carcinomas 5%, os tumores atípicos são ainda mais raros: cerca de 1% dos casos. Essas lesões podem apresentar alterações morfológicas sugestivas de maior agressividade, como pleomorfismo nuclear, fibrose intratumoral e maior atividade proliferativa, porém sem preencher critérios definitivos de malignidade, como invasão de estruturas adjacentes, invasão vascular ou presença de metástases. No presente caso, a paciente apresentava manifestações exuberantes de hipercalcemia e hiperparatireoidismo. Em geral, níveis de cálcio acima de 12 mg/dL e de paratormônio superiores a 3x o limite da normalidade podem sugerir carcinoma de paratireoide; porém, </w:t>
      </w:r>
      <w:proofErr w:type="gramStart"/>
      <w:r w:rsidRPr="000D5001">
        <w:rPr>
          <w:color w:val="1A1A1A"/>
          <w:sz w:val="22"/>
        </w:rPr>
        <w:t>a</w:t>
      </w:r>
      <w:proofErr w:type="gramEnd"/>
      <w:r w:rsidRPr="000D5001">
        <w:rPr>
          <w:color w:val="1A1A1A"/>
          <w:sz w:val="22"/>
        </w:rPr>
        <w:t xml:space="preserve"> ausência de critérios histológicos inequívocos de malignidade impede essa classificação. </w:t>
      </w:r>
      <w:r w:rsidRPr="000D5001">
        <w:rPr>
          <w:b/>
          <w:color w:val="1A1A1A"/>
          <w:sz w:val="22"/>
        </w:rPr>
        <w:t xml:space="preserve">Considerações finais: </w:t>
      </w:r>
      <w:r w:rsidRPr="000D5001">
        <w:rPr>
          <w:color w:val="1A1A1A"/>
          <w:sz w:val="22"/>
        </w:rPr>
        <w:t xml:space="preserve">O tumor atípico de paratireoide é uma entidade rara que pode simular carcinoma tanto do ponto de vista clínico quanto laboratorial, configurando desafio diagnóstico. O caso evidencia a necessidade de avaliação anatomopatológica detalhada, com correlação clínico-laboratorial, para definição diagnóstica adequada. Além disso, reforça </w:t>
      </w:r>
      <w:proofErr w:type="gramStart"/>
      <w:r w:rsidRPr="000D5001">
        <w:rPr>
          <w:color w:val="1A1A1A"/>
          <w:sz w:val="22"/>
        </w:rPr>
        <w:t>a</w:t>
      </w:r>
      <w:proofErr w:type="gramEnd"/>
      <w:r w:rsidRPr="000D5001">
        <w:rPr>
          <w:color w:val="1A1A1A"/>
          <w:sz w:val="22"/>
        </w:rPr>
        <w:t xml:space="preserve"> importância do seguimento prolongado, em razão do comportamento biológico incerto dessas lesões e da possibilidade de recorrência.</w:t>
      </w:r>
    </w:p>
    <w:p w:rsidR="000B5910" w:rsidRDefault="000B5910">
      <w:pPr>
        <w:pBdr>
          <w:bottom w:val="single" w:sz="4" w:space="2" w:color="808080"/>
        </w:pBdr>
        <w:spacing w:before="120" w:after="40"/>
      </w:pPr>
    </w:p>
    <w:p w:rsidR="000B5910" w:rsidRPr="000D5001" w:rsidRDefault="00057F5C">
      <w:pPr>
        <w:spacing w:after="0" w:line="252" w:lineRule="auto"/>
        <w:rPr>
          <w:sz w:val="16"/>
          <w:szCs w:val="16"/>
        </w:rPr>
      </w:pPr>
      <w:r w:rsidRPr="000D5001">
        <w:rPr>
          <w:color w:val="595959"/>
          <w:sz w:val="16"/>
          <w:szCs w:val="16"/>
          <w:vertAlign w:val="superscript"/>
        </w:rPr>
        <w:t>1</w:t>
      </w:r>
      <w:r w:rsidRPr="000D5001">
        <w:rPr>
          <w:color w:val="595959"/>
          <w:sz w:val="16"/>
          <w:szCs w:val="16"/>
        </w:rPr>
        <w:t xml:space="preserve"> Universidade de Santa Cruz do Sul (UNISC</w:t>
      </w:r>
    </w:p>
    <w:p w:rsidR="000B5910" w:rsidRDefault="000B5910">
      <w:pPr>
        <w:sectPr w:rsidR="000B5910">
          <w:headerReference w:type="default" r:id="rId351"/>
          <w:footerReference w:type="default" r:id="rId352"/>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SEMINOMA PRIMÁRIO DE MEDIASTINO COM MARCADORES TUMORAIS NEGATIVOS E ULTRASSONOGRAFIA TESTICULAR NORMAL: ABORDAGEM DIAGNÓSTICA COM ENFOQUE ENDOCRINOLÓGICO</w:t>
      </w:r>
    </w:p>
    <w:p w:rsidR="000B5910" w:rsidRPr="000D5001" w:rsidRDefault="00057F5C">
      <w:pPr>
        <w:spacing w:after="40" w:line="252" w:lineRule="auto"/>
        <w:jc w:val="right"/>
        <w:rPr>
          <w:szCs w:val="21"/>
        </w:rPr>
      </w:pPr>
      <w:r w:rsidRPr="000D5001">
        <w:rPr>
          <w:color w:val="1A1A1A"/>
          <w:szCs w:val="21"/>
        </w:rPr>
        <w:t>Henrique Calabria Buligon</w:t>
      </w:r>
      <w:r w:rsidRPr="000D5001">
        <w:rPr>
          <w:color w:val="1A1A1A"/>
          <w:szCs w:val="21"/>
          <w:vertAlign w:val="superscript"/>
        </w:rPr>
        <w:t>1</w:t>
      </w:r>
      <w:r w:rsidRPr="000D5001">
        <w:rPr>
          <w:szCs w:val="21"/>
        </w:rPr>
        <w:br/>
      </w:r>
      <w:r w:rsidRPr="000D5001">
        <w:rPr>
          <w:color w:val="1A1A1A"/>
          <w:szCs w:val="21"/>
        </w:rPr>
        <w:t>Monica Aparecida Poffo</w:t>
      </w:r>
      <w:r w:rsidRPr="000D5001">
        <w:rPr>
          <w:color w:val="1A1A1A"/>
          <w:szCs w:val="21"/>
          <w:vertAlign w:val="superscript"/>
        </w:rPr>
        <w:t>1</w:t>
      </w:r>
      <w:r w:rsidRPr="000D5001">
        <w:rPr>
          <w:szCs w:val="21"/>
        </w:rPr>
        <w:br/>
      </w:r>
      <w:r w:rsidRPr="000D5001">
        <w:rPr>
          <w:color w:val="1A1A1A"/>
          <w:szCs w:val="21"/>
        </w:rPr>
        <w:t>Fernanda Chiamulera Togni</w:t>
      </w:r>
      <w:r w:rsidRPr="000D5001">
        <w:rPr>
          <w:color w:val="1A1A1A"/>
          <w:szCs w:val="21"/>
          <w:vertAlign w:val="superscript"/>
        </w:rPr>
        <w:t>1</w:t>
      </w:r>
      <w:r w:rsidRPr="000D5001">
        <w:rPr>
          <w:szCs w:val="21"/>
        </w:rPr>
        <w:br/>
      </w:r>
      <w:r w:rsidRPr="000D5001">
        <w:rPr>
          <w:color w:val="1A1A1A"/>
          <w:szCs w:val="21"/>
        </w:rPr>
        <w:t>Guilherme Matheus Langa</w:t>
      </w:r>
      <w:r w:rsidRPr="000D5001">
        <w:rPr>
          <w:color w:val="1A1A1A"/>
          <w:szCs w:val="21"/>
          <w:vertAlign w:val="superscript"/>
        </w:rPr>
        <w:t>1</w:t>
      </w:r>
    </w:p>
    <w:p w:rsidR="000B5910" w:rsidRDefault="00057F5C">
      <w:pPr>
        <w:spacing w:before="240" w:after="100"/>
      </w:pPr>
      <w:r>
        <w:rPr>
          <w:b/>
          <w:color w:val="1A1A1A"/>
          <w:sz w:val="22"/>
        </w:rPr>
        <w:t>RESUMO</w:t>
      </w:r>
    </w:p>
    <w:p w:rsidR="000B5910" w:rsidRPr="000D5001" w:rsidRDefault="00057F5C">
      <w:pPr>
        <w:spacing w:after="80"/>
        <w:jc w:val="both"/>
        <w:rPr>
          <w:sz w:val="22"/>
        </w:rPr>
      </w:pPr>
      <w:r w:rsidRPr="000D5001">
        <w:rPr>
          <w:b/>
          <w:color w:val="1A1A1A"/>
          <w:sz w:val="22"/>
        </w:rPr>
        <w:t xml:space="preserve">Apresentação do Caso: </w:t>
      </w:r>
      <w:r w:rsidRPr="000D5001">
        <w:rPr>
          <w:color w:val="1A1A1A"/>
          <w:sz w:val="22"/>
        </w:rPr>
        <w:t xml:space="preserve">Paciente masculino, 32 anos, previamente hígido, iniciou disfagia progressiva, fadiga, tontura, edema facial e circulação colateral torácica. Submetido à endoscopia digestiva alta que evidenciou compressão extrínseca esofágica, tomografia de tórax com massa heterogênea em mediastino anterior de 13,6 x 8,6 cm, com áreas de necrose, desvio traqueal e estenose da veia cava superior. Laboratorialmente, apresentou alfa fetoproteína negativa, gonadotrofina coriônica humana negativa e desidrogenase lática elevada (1.918 U/L). A ultrassonografia testicular não evidenciou lesões focais, a biópsia inicial da lesão mediastinal foi inconclusiva, porém mediastinoscopia com imuno-histoquímica confirmou tumor germinativo primário do mediastino do tipo </w:t>
      </w:r>
      <w:proofErr w:type="gramStart"/>
      <w:r w:rsidRPr="000D5001">
        <w:rPr>
          <w:color w:val="1A1A1A"/>
          <w:sz w:val="22"/>
        </w:rPr>
        <w:t>seminoma.O</w:t>
      </w:r>
      <w:proofErr w:type="gramEnd"/>
      <w:r w:rsidRPr="000D5001">
        <w:rPr>
          <w:color w:val="1A1A1A"/>
          <w:sz w:val="22"/>
        </w:rPr>
        <w:t xml:space="preserve"> paciente evoluiu com tromboembolismo pulmonar segmentar e subsegmentar, derrame pericárdico com necessidade de pericardiocentese e janela pericárdica, cuja drenagem foi negativa para malignidade. Após estabilização, iniciou quimioterapia com bleomicina, etoposídeo e cisplatina em dezembro de 2025. Observou-se boa resposta clínica e laboratorial, com redução da desidrogenase lática de aproximadamente 3.100 U/L para 550 U/L, embora tenha apresentado neutropenia grau 3 antes do segundo ciclo. </w:t>
      </w:r>
      <w:r w:rsidRPr="000D5001">
        <w:rPr>
          <w:b/>
          <w:color w:val="1A1A1A"/>
          <w:sz w:val="22"/>
        </w:rPr>
        <w:t>Discussão:</w:t>
      </w:r>
      <w:r w:rsidRPr="000D5001">
        <w:rPr>
          <w:color w:val="1A1A1A"/>
          <w:sz w:val="22"/>
        </w:rPr>
        <w:t xml:space="preserve"> Os tumores germinativos extragonadais do mediastino representam entidade rara e de interesse endocrinológico pela necessidade de diferenciação com neoplasia testicular primária. </w:t>
      </w:r>
      <w:proofErr w:type="gramStart"/>
      <w:r w:rsidRPr="000D5001">
        <w:rPr>
          <w:color w:val="1A1A1A"/>
          <w:sz w:val="22"/>
        </w:rPr>
        <w:t>A</w:t>
      </w:r>
      <w:proofErr w:type="gramEnd"/>
      <w:r w:rsidRPr="000D5001">
        <w:rPr>
          <w:color w:val="1A1A1A"/>
          <w:sz w:val="22"/>
        </w:rPr>
        <w:t xml:space="preserve"> avaliação inclui marcadores tumorais séricos e investigação gonadal por imagem. Neste caso, </w:t>
      </w:r>
      <w:proofErr w:type="gramStart"/>
      <w:r w:rsidRPr="000D5001">
        <w:rPr>
          <w:color w:val="1A1A1A"/>
          <w:sz w:val="22"/>
        </w:rPr>
        <w:t>a</w:t>
      </w:r>
      <w:proofErr w:type="gramEnd"/>
      <w:r w:rsidRPr="000D5001">
        <w:rPr>
          <w:color w:val="1A1A1A"/>
          <w:sz w:val="22"/>
        </w:rPr>
        <w:t xml:space="preserve"> ausência de elevação de alfa fetoproteína e gonadotrofina coriônica humana, associada a ultrassonografia testicular normal, favoreceu o diagnóstico de seminoma mediastinal primário. </w:t>
      </w:r>
      <w:proofErr w:type="gramStart"/>
      <w:r w:rsidRPr="000D5001">
        <w:rPr>
          <w:color w:val="1A1A1A"/>
          <w:sz w:val="22"/>
        </w:rPr>
        <w:t>A</w:t>
      </w:r>
      <w:proofErr w:type="gramEnd"/>
      <w:r w:rsidRPr="000D5001">
        <w:rPr>
          <w:color w:val="1A1A1A"/>
          <w:sz w:val="22"/>
        </w:rPr>
        <w:t xml:space="preserve"> elevação importante da desidrogenase lática refletiu elevada carga tumoral e serviu como marcador de resposta terapêutica após início do tratamento. O reconhecimento dessa apresentação é relevante para adequada classificação do tumor germinativo e definição do manejo. </w:t>
      </w:r>
      <w:r w:rsidRPr="000D5001">
        <w:rPr>
          <w:b/>
          <w:color w:val="1A1A1A"/>
          <w:sz w:val="22"/>
        </w:rPr>
        <w:t>Considerações finais</w:t>
      </w:r>
      <w:r w:rsidRPr="000D5001">
        <w:rPr>
          <w:color w:val="1A1A1A"/>
          <w:sz w:val="22"/>
        </w:rPr>
        <w:t xml:space="preserve">: O seminoma mediastinal primário deve ser considerado em pacientes jovens com massa mediastinal volumosa, mesmo na ausência de alterações testiculares. </w:t>
      </w:r>
      <w:proofErr w:type="gramStart"/>
      <w:r w:rsidRPr="000D5001">
        <w:rPr>
          <w:color w:val="1A1A1A"/>
          <w:sz w:val="22"/>
        </w:rPr>
        <w:t>A</w:t>
      </w:r>
      <w:proofErr w:type="gramEnd"/>
      <w:r w:rsidRPr="000D5001">
        <w:rPr>
          <w:color w:val="1A1A1A"/>
          <w:sz w:val="22"/>
        </w:rPr>
        <w:t xml:space="preserve"> análise integrada de marcadores tumorais, imagem e histopatologia é fundamental para o diagnóstico e acompanhamento, sendo a desidrogenase lática um importante marcador de atividade da doença.</w:t>
      </w:r>
    </w:p>
    <w:p w:rsidR="000B5910" w:rsidRDefault="000B5910">
      <w:pPr>
        <w:pBdr>
          <w:bottom w:val="single" w:sz="4" w:space="2" w:color="808080"/>
        </w:pBdr>
        <w:spacing w:before="160" w:after="40"/>
      </w:pPr>
    </w:p>
    <w:p w:rsidR="000B5910" w:rsidRPr="000D5001" w:rsidRDefault="00057F5C">
      <w:pPr>
        <w:spacing w:after="0" w:line="252" w:lineRule="auto"/>
        <w:rPr>
          <w:sz w:val="16"/>
          <w:szCs w:val="16"/>
        </w:rPr>
      </w:pPr>
      <w:r w:rsidRPr="000D5001">
        <w:rPr>
          <w:color w:val="595959"/>
          <w:sz w:val="16"/>
          <w:szCs w:val="16"/>
          <w:vertAlign w:val="superscript"/>
        </w:rPr>
        <w:t>1</w:t>
      </w:r>
      <w:r w:rsidRPr="000D5001">
        <w:rPr>
          <w:color w:val="595959"/>
          <w:sz w:val="16"/>
          <w:szCs w:val="16"/>
        </w:rPr>
        <w:t xml:space="preserve"> Hospital Militar de Área de Porto Alegre</w:t>
      </w:r>
    </w:p>
    <w:p w:rsidR="000B5910" w:rsidRDefault="000B5910">
      <w:pPr>
        <w:sectPr w:rsidR="000B5910">
          <w:headerReference w:type="default" r:id="rId353"/>
          <w:footerReference w:type="default" r:id="rId354"/>
          <w:pgSz w:w="12240" w:h="15840"/>
          <w:pgMar w:top="1417" w:right="1417" w:bottom="1417" w:left="1417" w:header="680" w:footer="680" w:gutter="0"/>
          <w:cols w:space="720"/>
        </w:sectPr>
      </w:pPr>
    </w:p>
    <w:p w:rsidR="000B5910" w:rsidRDefault="00057F5C">
      <w:pPr>
        <w:spacing w:before="80" w:after="240" w:line="252" w:lineRule="auto"/>
        <w:jc w:val="center"/>
      </w:pPr>
      <w:r>
        <w:rPr>
          <w:b/>
          <w:color w:val="1A1A1A"/>
          <w:sz w:val="28"/>
        </w:rPr>
        <w:lastRenderedPageBreak/>
        <w:t>IMPACTO DO ACOMPANHAMENTO AMBULATORIAL ESPECIALIZADO NA MELHORA DE SINTOMAS DE ANSIEDADE E DEPRESSÃO EM PACIENTES TRANSGÊNERO E CISGÊNERO</w:t>
      </w:r>
    </w:p>
    <w:p w:rsidR="000B5910" w:rsidRPr="000D5001" w:rsidRDefault="00057F5C">
      <w:pPr>
        <w:spacing w:after="40" w:line="252" w:lineRule="auto"/>
        <w:jc w:val="right"/>
        <w:rPr>
          <w:szCs w:val="21"/>
        </w:rPr>
      </w:pPr>
      <w:r w:rsidRPr="000D5001">
        <w:rPr>
          <w:color w:val="1A1A1A"/>
          <w:szCs w:val="21"/>
        </w:rPr>
        <w:t>Letícia Schwerz Weinert</w:t>
      </w:r>
      <w:r w:rsidRPr="000D5001">
        <w:rPr>
          <w:color w:val="1A1A1A"/>
          <w:szCs w:val="21"/>
          <w:vertAlign w:val="superscript"/>
        </w:rPr>
        <w:t>1</w:t>
      </w:r>
      <w:r w:rsidRPr="000D5001">
        <w:rPr>
          <w:szCs w:val="21"/>
        </w:rPr>
        <w:br/>
      </w:r>
      <w:r w:rsidRPr="000D5001">
        <w:rPr>
          <w:color w:val="1A1A1A"/>
          <w:szCs w:val="21"/>
        </w:rPr>
        <w:t>Isabelle Moraes Dallasta</w:t>
      </w:r>
      <w:r w:rsidRPr="000D5001">
        <w:rPr>
          <w:color w:val="1A1A1A"/>
          <w:szCs w:val="21"/>
          <w:vertAlign w:val="superscript"/>
        </w:rPr>
        <w:t>1</w:t>
      </w:r>
      <w:r w:rsidRPr="000D5001">
        <w:rPr>
          <w:szCs w:val="21"/>
        </w:rPr>
        <w:br/>
      </w:r>
      <w:r w:rsidRPr="000D5001">
        <w:rPr>
          <w:color w:val="1A1A1A"/>
          <w:szCs w:val="21"/>
        </w:rPr>
        <w:t>Isadora Nunes Sattem Alam</w:t>
      </w:r>
      <w:r w:rsidRPr="000D5001">
        <w:rPr>
          <w:color w:val="1A1A1A"/>
          <w:szCs w:val="21"/>
          <w:vertAlign w:val="superscript"/>
        </w:rPr>
        <w:t>1</w:t>
      </w:r>
      <w:r w:rsidRPr="000D5001">
        <w:rPr>
          <w:szCs w:val="21"/>
        </w:rPr>
        <w:br/>
      </w:r>
      <w:r w:rsidRPr="000D5001">
        <w:rPr>
          <w:color w:val="1A1A1A"/>
          <w:szCs w:val="21"/>
        </w:rPr>
        <w:t>Karen Francisca Borges Sias</w:t>
      </w:r>
      <w:r w:rsidRPr="000D5001">
        <w:rPr>
          <w:color w:val="1A1A1A"/>
          <w:szCs w:val="21"/>
          <w:vertAlign w:val="superscript"/>
        </w:rPr>
        <w:t>1</w:t>
      </w:r>
      <w:r w:rsidRPr="000D5001">
        <w:rPr>
          <w:szCs w:val="21"/>
        </w:rPr>
        <w:br/>
      </w:r>
      <w:r w:rsidRPr="000D5001">
        <w:rPr>
          <w:color w:val="1A1A1A"/>
          <w:szCs w:val="21"/>
        </w:rPr>
        <w:t>Mariangela Alves Gonzales</w:t>
      </w:r>
      <w:r w:rsidRPr="000D5001">
        <w:rPr>
          <w:color w:val="1A1A1A"/>
          <w:szCs w:val="21"/>
          <w:vertAlign w:val="superscript"/>
        </w:rPr>
        <w:t>1</w:t>
      </w:r>
      <w:r w:rsidRPr="000D5001">
        <w:rPr>
          <w:szCs w:val="21"/>
        </w:rPr>
        <w:br/>
      </w:r>
      <w:r w:rsidRPr="000D5001">
        <w:rPr>
          <w:color w:val="1A1A1A"/>
          <w:szCs w:val="21"/>
        </w:rPr>
        <w:t>Jivago da Fonseca Lopes</w:t>
      </w:r>
      <w:r w:rsidRPr="000D5001">
        <w:rPr>
          <w:color w:val="1A1A1A"/>
          <w:szCs w:val="21"/>
          <w:vertAlign w:val="superscript"/>
        </w:rPr>
        <w:t>1</w:t>
      </w:r>
    </w:p>
    <w:p w:rsidR="000B5910" w:rsidRDefault="00057F5C">
      <w:pPr>
        <w:spacing w:before="240" w:after="100"/>
      </w:pPr>
      <w:r>
        <w:rPr>
          <w:b/>
          <w:color w:val="1A1A1A"/>
          <w:sz w:val="22"/>
        </w:rPr>
        <w:t>RESUMO</w:t>
      </w:r>
    </w:p>
    <w:p w:rsidR="000B5910" w:rsidRPr="000D5001" w:rsidRDefault="00057F5C">
      <w:pPr>
        <w:spacing w:after="80"/>
        <w:jc w:val="both"/>
        <w:rPr>
          <w:sz w:val="22"/>
        </w:rPr>
      </w:pPr>
      <w:r w:rsidRPr="000D5001">
        <w:rPr>
          <w:b/>
          <w:color w:val="1A1A1A"/>
          <w:sz w:val="22"/>
        </w:rPr>
        <w:t>Introdução</w:t>
      </w:r>
      <w:r w:rsidRPr="000D5001">
        <w:rPr>
          <w:color w:val="1A1A1A"/>
          <w:sz w:val="22"/>
        </w:rPr>
        <w:t xml:space="preserve">: Pessoas transgênero apresentam maior vulnerabilidade em saúde mental, enquanto pacientes cisgênero com doenças crônicas também podem apresentar elevada carga de sintomas ansiosos e depressivos. Estudos prospectivos comparando esses grupos em um mesmo cenário assistencial ainda são escassos. </w:t>
      </w:r>
      <w:r w:rsidRPr="000D5001">
        <w:rPr>
          <w:b/>
          <w:color w:val="1A1A1A"/>
          <w:sz w:val="22"/>
        </w:rPr>
        <w:t>Objetivo:</w:t>
      </w:r>
      <w:r w:rsidRPr="000D5001">
        <w:rPr>
          <w:color w:val="1A1A1A"/>
          <w:sz w:val="22"/>
        </w:rPr>
        <w:t xml:space="preserve"> Comparar prospectivamente a presença e </w:t>
      </w:r>
      <w:proofErr w:type="gramStart"/>
      <w:r w:rsidRPr="000D5001">
        <w:rPr>
          <w:color w:val="1A1A1A"/>
          <w:sz w:val="22"/>
        </w:rPr>
        <w:t>a</w:t>
      </w:r>
      <w:proofErr w:type="gramEnd"/>
      <w:r w:rsidRPr="000D5001">
        <w:rPr>
          <w:color w:val="1A1A1A"/>
          <w:sz w:val="22"/>
        </w:rPr>
        <w:t xml:space="preserve"> evolução de sintomas de ansiedade e depressão entre pacientes transgênero e cisgênero acompanhados em serviço multidisciplinar especializado. </w:t>
      </w:r>
      <w:r w:rsidRPr="000D5001">
        <w:rPr>
          <w:b/>
          <w:color w:val="1A1A1A"/>
          <w:sz w:val="22"/>
        </w:rPr>
        <w:t>Métodos:</w:t>
      </w:r>
      <w:r w:rsidRPr="000D5001">
        <w:rPr>
          <w:color w:val="1A1A1A"/>
          <w:sz w:val="22"/>
        </w:rPr>
        <w:t xml:space="preserve"> Estudo de coorte prospectivo e comparativo, realizado em ambulatório multidisciplinar especializado do Sul do Brasil. Foram incluídos 52 participantes com idade igual ou superior </w:t>
      </w:r>
      <w:proofErr w:type="gramStart"/>
      <w:r w:rsidRPr="000D5001">
        <w:rPr>
          <w:color w:val="1A1A1A"/>
          <w:sz w:val="22"/>
        </w:rPr>
        <w:t>a</w:t>
      </w:r>
      <w:proofErr w:type="gramEnd"/>
      <w:r w:rsidRPr="000D5001">
        <w:rPr>
          <w:color w:val="1A1A1A"/>
          <w:sz w:val="22"/>
        </w:rPr>
        <w:t xml:space="preserve"> 18 anos, sendo 27 transgêneros em terapia hormonal de afirmação de gênero e 25 cisgênero em acompanhamento por doenças crônicas. Os sintomas foram avaliados na admissão e após período mínimo de seis meses por meio das escalas HAD e DASS-21. </w:t>
      </w:r>
      <w:r w:rsidRPr="000D5001">
        <w:rPr>
          <w:b/>
          <w:color w:val="1A1A1A"/>
          <w:sz w:val="22"/>
        </w:rPr>
        <w:t>Resultados:</w:t>
      </w:r>
      <w:r w:rsidRPr="000D5001">
        <w:rPr>
          <w:color w:val="1A1A1A"/>
          <w:sz w:val="22"/>
        </w:rPr>
        <w:t xml:space="preserve"> O grupo transgênero apresentou menor idade, maior escolaridade e maior prevalência de tabagismo. Na avaliação basal, não houve diferença significativa entre os grupos quanto à prevalência de ansiedade (63,0% vs. 52,0%; p=0,424) e depressão (55,6% vs. 40,0%; p=0,262). Após o seguimento, observou-se redução global dos sintomas em ambos os grupos. Houve diferença significativa na depressão mensurada pela HAD no pós-seguimento e na variação longitudinal dos escores, indicando melhora mais expressiva no grupo transgênero. </w:t>
      </w:r>
      <w:r w:rsidRPr="000D5001">
        <w:rPr>
          <w:b/>
          <w:color w:val="1A1A1A"/>
          <w:sz w:val="22"/>
        </w:rPr>
        <w:t>Conclusão:</w:t>
      </w:r>
      <w:r w:rsidRPr="000D5001">
        <w:rPr>
          <w:color w:val="1A1A1A"/>
          <w:sz w:val="22"/>
        </w:rPr>
        <w:t xml:space="preserve"> Houve elevada frequência de sintomas ansiosos e depressivos na admissão em ambos os grupos, com melhora após seguimento mínimo de seis meses. A redução dos sintomas depressivos foi significativamente maior no grupo transgênero, enquanto nas demais escalas não houve diferença entre os grupos. Os achados reforçam a relevância do acompanhamento ambulatorial especializado e multiprofissional para a promoção da saúde mental.</w:t>
      </w:r>
    </w:p>
    <w:p w:rsidR="000B5910" w:rsidRDefault="000B5910">
      <w:pPr>
        <w:pBdr>
          <w:bottom w:val="single" w:sz="4" w:space="2" w:color="808080"/>
        </w:pBdr>
        <w:spacing w:before="160" w:after="40"/>
      </w:pPr>
    </w:p>
    <w:p w:rsidR="000B5910" w:rsidRPr="000D5001" w:rsidRDefault="00057F5C">
      <w:pPr>
        <w:spacing w:after="0" w:line="252" w:lineRule="auto"/>
        <w:rPr>
          <w:sz w:val="16"/>
          <w:szCs w:val="16"/>
        </w:rPr>
      </w:pPr>
      <w:r w:rsidRPr="000D5001">
        <w:rPr>
          <w:color w:val="595959"/>
          <w:sz w:val="16"/>
          <w:szCs w:val="16"/>
          <w:vertAlign w:val="superscript"/>
        </w:rPr>
        <w:t>1</w:t>
      </w:r>
      <w:r w:rsidRPr="000D5001">
        <w:rPr>
          <w:color w:val="595959"/>
          <w:sz w:val="16"/>
          <w:szCs w:val="16"/>
        </w:rPr>
        <w:t xml:space="preserve"> Universidade Federal de Pelotas</w:t>
      </w:r>
    </w:p>
    <w:sectPr w:rsidR="000B5910" w:rsidRPr="000D5001">
      <w:headerReference w:type="default" r:id="rId355"/>
      <w:footerReference w:type="default" r:id="rId356"/>
      <w:pgSz w:w="12240" w:h="15840"/>
      <w:pgMar w:top="1417" w:right="1417" w:bottom="1417" w:left="1417"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EEE" w:rsidRDefault="00CD5EEE">
      <w:pPr>
        <w:spacing w:after="0" w:line="240" w:lineRule="auto"/>
      </w:pPr>
      <w:r>
        <w:separator/>
      </w:r>
    </w:p>
  </w:endnote>
  <w:endnote w:type="continuationSeparator" w:id="0">
    <w:p w:rsidR="00CD5EEE" w:rsidRDefault="00CD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3B9C" w:rsidRDefault="00CD5EEE">
    <w:pPr>
      <w:tabs>
        <w:tab w:val="right" w:pos="9071"/>
      </w:tabs>
      <w:rPr>
        <w:sz w:val="16"/>
        <w:szCs w:val="16"/>
      </w:rPr>
    </w:pPr>
    <w:r w:rsidRPr="00543B9C">
      <w:rPr>
        <w:color w:val="595959"/>
        <w:sz w:val="16"/>
        <w:szCs w:val="16"/>
      </w:rPr>
      <w:t>Revista Saúde (Santa Maria) 2026 Ed. Especial ANAIS 19º ENDOSUL</w:t>
    </w:r>
    <w:r w:rsidRPr="00543B9C">
      <w:rPr>
        <w:sz w:val="16"/>
        <w:szCs w:val="16"/>
      </w:rPr>
      <w:tab/>
    </w:r>
    <w:r w:rsidRPr="00543B9C">
      <w:rPr>
        <w:color w:val="595959"/>
        <w:sz w:val="16"/>
        <w:szCs w:val="16"/>
      </w:rPr>
      <w:fldChar w:fldCharType="begin"/>
    </w:r>
    <w:r w:rsidRPr="00543B9C">
      <w:rPr>
        <w:color w:val="595959"/>
        <w:sz w:val="16"/>
        <w:szCs w:val="16"/>
      </w:rPr>
      <w:instrText>PAGE</w:instrText>
    </w:r>
    <w:r w:rsidRPr="00543B9C">
      <w:rPr>
        <w:color w:val="595959"/>
        <w:sz w:val="16"/>
        <w:szCs w:val="16"/>
      </w:rPr>
      <w:fldChar w:fldCharType="separate"/>
    </w:r>
    <w:r w:rsidRPr="00543B9C">
      <w:rPr>
        <w:color w:val="595959"/>
        <w:sz w:val="16"/>
        <w:szCs w:val="16"/>
      </w:rPr>
      <w:t>13</w:t>
    </w:r>
    <w:r w:rsidRPr="00543B9C">
      <w:rPr>
        <w:color w:val="595959"/>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EF0997" w:rsidRDefault="00CD5EEE">
    <w:pPr>
      <w:tabs>
        <w:tab w:val="right" w:pos="9071"/>
      </w:tabs>
      <w:rPr>
        <w:sz w:val="16"/>
        <w:szCs w:val="16"/>
      </w:rPr>
    </w:pPr>
    <w:r w:rsidRPr="00EF0997">
      <w:rPr>
        <w:color w:val="595959"/>
        <w:sz w:val="16"/>
        <w:szCs w:val="16"/>
      </w:rPr>
      <w:t>Revista Saúde (Santa Maria) 2026 Ed. Especial ANAIS 19º ENDOSUL</w:t>
    </w:r>
    <w:r w:rsidRPr="00EF0997">
      <w:rPr>
        <w:sz w:val="16"/>
        <w:szCs w:val="16"/>
      </w:rPr>
      <w:tab/>
    </w:r>
    <w:r w:rsidRPr="00EF0997">
      <w:rPr>
        <w:color w:val="595959"/>
        <w:sz w:val="16"/>
        <w:szCs w:val="16"/>
      </w:rPr>
      <w:fldChar w:fldCharType="begin"/>
    </w:r>
    <w:r w:rsidRPr="00EF0997">
      <w:rPr>
        <w:color w:val="595959"/>
        <w:sz w:val="16"/>
        <w:szCs w:val="16"/>
      </w:rPr>
      <w:instrText>PAGE</w:instrText>
    </w:r>
    <w:r w:rsidRPr="00EF0997">
      <w:rPr>
        <w:color w:val="595959"/>
        <w:sz w:val="16"/>
        <w:szCs w:val="16"/>
      </w:rPr>
      <w:fldChar w:fldCharType="separate"/>
    </w:r>
    <w:r w:rsidRPr="00EF0997">
      <w:rPr>
        <w:color w:val="595959"/>
        <w:sz w:val="16"/>
        <w:szCs w:val="16"/>
      </w:rPr>
      <w:t>22</w:t>
    </w:r>
    <w:r w:rsidRPr="00EF0997">
      <w:rPr>
        <w:color w:val="595959"/>
        <w:sz w:val="16"/>
        <w:szCs w:val="16"/>
      </w:rPr>
      <w:fldChar w:fldCharType="end"/>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112</w:t>
    </w:r>
    <w:r>
      <w:rPr>
        <w:color w:val="595959"/>
        <w:sz w:val="18"/>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113</w:t>
    </w:r>
    <w:r>
      <w:rPr>
        <w:color w:val="595959"/>
        <w:sz w:val="18"/>
      </w:rP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114</w:t>
    </w:r>
    <w:r>
      <w:rPr>
        <w:color w:val="595959"/>
        <w:sz w:val="18"/>
      </w:rP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115</w:t>
    </w:r>
    <w:r>
      <w:rPr>
        <w:color w:val="595959"/>
        <w:sz w:val="18"/>
      </w:rPr>
      <w:fldChar w:fldCharType="end"/>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116</w:t>
    </w:r>
    <w:r>
      <w:rPr>
        <w:color w:val="595959"/>
        <w:sz w:val="18"/>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117</w:t>
    </w:r>
    <w:r>
      <w:rPr>
        <w:color w:val="595959"/>
        <w:sz w:val="18"/>
      </w:rPr>
      <w:fldChar w:fldCharType="end"/>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118</w:t>
    </w:r>
    <w:r>
      <w:rPr>
        <w:color w:val="595959"/>
        <w:sz w:val="18"/>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119</w:t>
    </w:r>
    <w:r>
      <w:rPr>
        <w:color w:val="595959"/>
        <w:sz w:val="18"/>
      </w:rP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120</w:t>
    </w:r>
    <w:r>
      <w:rPr>
        <w:color w:val="595959"/>
        <w:sz w:val="18"/>
      </w:rPr>
      <w:fldChar w:fldCharType="end"/>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121</w:t>
    </w:r>
    <w:r>
      <w:rPr>
        <w:color w:val="595959"/>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tabs>
        <w:tab w:val="right" w:pos="9071"/>
      </w:tabs>
      <w:rPr>
        <w:sz w:val="16"/>
        <w:szCs w:val="16"/>
      </w:rPr>
    </w:pPr>
    <w:r w:rsidRPr="003D109D">
      <w:rPr>
        <w:color w:val="595959"/>
        <w:sz w:val="16"/>
        <w:szCs w:val="16"/>
      </w:rPr>
      <w:t>Revista Saúde (Santa Maria) 2026 Ed. Especial ANAIS 19º ENDOSUL</w:t>
    </w:r>
    <w:r w:rsidRPr="003D109D">
      <w:rPr>
        <w:sz w:val="16"/>
        <w:szCs w:val="16"/>
      </w:rPr>
      <w:tab/>
    </w:r>
    <w:r w:rsidRPr="003D109D">
      <w:rPr>
        <w:color w:val="595959"/>
        <w:sz w:val="16"/>
        <w:szCs w:val="16"/>
      </w:rPr>
      <w:fldChar w:fldCharType="begin"/>
    </w:r>
    <w:r w:rsidRPr="003D109D">
      <w:rPr>
        <w:color w:val="595959"/>
        <w:sz w:val="16"/>
        <w:szCs w:val="16"/>
      </w:rPr>
      <w:instrText>PAGE</w:instrText>
    </w:r>
    <w:r w:rsidRPr="003D109D">
      <w:rPr>
        <w:color w:val="595959"/>
        <w:sz w:val="16"/>
        <w:szCs w:val="16"/>
      </w:rPr>
      <w:fldChar w:fldCharType="separate"/>
    </w:r>
    <w:r w:rsidRPr="003D109D">
      <w:rPr>
        <w:color w:val="595959"/>
        <w:sz w:val="16"/>
        <w:szCs w:val="16"/>
      </w:rPr>
      <w:t>23</w:t>
    </w:r>
    <w:r w:rsidRPr="003D109D">
      <w:rPr>
        <w:color w:val="595959"/>
        <w:sz w:val="16"/>
        <w:szCs w:val="16"/>
      </w:rP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122</w:t>
    </w:r>
    <w:r>
      <w:rPr>
        <w:color w:val="595959"/>
        <w:sz w:val="18"/>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123</w:t>
    </w:r>
    <w:r>
      <w:rPr>
        <w:color w:val="595959"/>
        <w:sz w:val="18"/>
      </w:rPr>
      <w:fldChar w:fldCharType="end"/>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124</w:t>
    </w:r>
    <w:r>
      <w:rPr>
        <w:color w:val="595959"/>
        <w:sz w:val="18"/>
      </w:rPr>
      <w:fldChar w:fldCharType="end"/>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125</w:t>
    </w:r>
    <w:r>
      <w:rPr>
        <w:color w:val="595959"/>
        <w:sz w:val="18"/>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126</w:t>
    </w:r>
    <w:r>
      <w:rPr>
        <w:color w:val="595959"/>
        <w:sz w:val="18"/>
      </w:rPr>
      <w:fldChar w:fldCharType="end"/>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127</w:t>
    </w:r>
    <w:r>
      <w:rPr>
        <w:color w:val="595959"/>
        <w:sz w:val="18"/>
      </w:rPr>
      <w:fldChar w:fldCharType="end"/>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128</w:t>
    </w:r>
    <w:r>
      <w:rPr>
        <w:color w:val="595959"/>
        <w:sz w:val="18"/>
      </w:rPr>
      <w:fldChar w:fldCharType="end"/>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129</w:t>
    </w:r>
    <w:r>
      <w:rPr>
        <w:color w:val="595959"/>
        <w:sz w:val="18"/>
      </w:rPr>
      <w:fldChar w:fldCharType="end"/>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130</w:t>
    </w:r>
    <w:r>
      <w:rPr>
        <w:color w:val="595959"/>
        <w:sz w:val="18"/>
      </w:rPr>
      <w:fldChar w:fldCharType="end"/>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131</w:t>
    </w:r>
    <w:r>
      <w:rPr>
        <w:color w:val="595959"/>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tabs>
        <w:tab w:val="right" w:pos="9071"/>
      </w:tabs>
      <w:rPr>
        <w:sz w:val="16"/>
        <w:szCs w:val="16"/>
      </w:rPr>
    </w:pPr>
    <w:r w:rsidRPr="003D109D">
      <w:rPr>
        <w:color w:val="595959"/>
        <w:sz w:val="16"/>
        <w:szCs w:val="16"/>
      </w:rPr>
      <w:t>Revista Saúde (Santa Maria) 2026 Ed. Especial ANAIS 19º ENDOSUL</w:t>
    </w:r>
    <w:r w:rsidRPr="003D109D">
      <w:rPr>
        <w:sz w:val="16"/>
        <w:szCs w:val="16"/>
      </w:rPr>
      <w:tab/>
    </w:r>
    <w:r w:rsidRPr="003D109D">
      <w:rPr>
        <w:color w:val="595959"/>
        <w:sz w:val="16"/>
        <w:szCs w:val="16"/>
      </w:rPr>
      <w:fldChar w:fldCharType="begin"/>
    </w:r>
    <w:r w:rsidRPr="003D109D">
      <w:rPr>
        <w:color w:val="595959"/>
        <w:sz w:val="16"/>
        <w:szCs w:val="16"/>
      </w:rPr>
      <w:instrText>PAGE</w:instrText>
    </w:r>
    <w:r w:rsidRPr="003D109D">
      <w:rPr>
        <w:color w:val="595959"/>
        <w:sz w:val="16"/>
        <w:szCs w:val="16"/>
      </w:rPr>
      <w:fldChar w:fldCharType="separate"/>
    </w:r>
    <w:r w:rsidRPr="003D109D">
      <w:rPr>
        <w:color w:val="595959"/>
        <w:sz w:val="16"/>
        <w:szCs w:val="16"/>
      </w:rPr>
      <w:t>24</w:t>
    </w:r>
    <w:r w:rsidRPr="003D109D">
      <w:rPr>
        <w:color w:val="595959"/>
        <w:sz w:val="16"/>
        <w:szCs w:val="16"/>
      </w:rPr>
      <w:fldChar w:fldCharType="end"/>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132</w:t>
    </w:r>
    <w:r>
      <w:rPr>
        <w:color w:val="595959"/>
        <w:sz w:val="18"/>
      </w:rPr>
      <w:fldChar w:fldCharType="end"/>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133</w:t>
    </w:r>
    <w:r>
      <w:rPr>
        <w:color w:val="595959"/>
        <w:sz w:val="18"/>
      </w:rPr>
      <w:fldChar w:fldCharType="end"/>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134</w:t>
    </w:r>
    <w:r>
      <w:rPr>
        <w:color w:val="595959"/>
        <w:sz w:val="18"/>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135</w:t>
    </w:r>
    <w:r>
      <w:rPr>
        <w:color w:val="595959"/>
        <w:sz w:val="18"/>
      </w:rPr>
      <w:fldChar w:fldCharType="end"/>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136</w:t>
    </w:r>
    <w:r>
      <w:rPr>
        <w:color w:val="595959"/>
        <w:sz w:val="18"/>
      </w:rPr>
      <w:fldChar w:fldCharType="end"/>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137</w:t>
    </w:r>
    <w:r>
      <w:rPr>
        <w:color w:val="595959"/>
        <w:sz w:val="18"/>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138</w:t>
    </w:r>
    <w:r>
      <w:rPr>
        <w:color w:val="595959"/>
        <w:sz w:val="18"/>
      </w:rPr>
      <w:fldChar w:fldCharType="end"/>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139</w:t>
    </w:r>
    <w:r>
      <w:rPr>
        <w:color w:val="595959"/>
        <w:sz w:val="18"/>
      </w:rPr>
      <w:fldChar w:fldCharType="end"/>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140</w:t>
    </w:r>
    <w:r>
      <w:rPr>
        <w:color w:val="595959"/>
        <w:sz w:val="18"/>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141</w:t>
    </w:r>
    <w:r>
      <w:rPr>
        <w:color w:val="595959"/>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tabs>
        <w:tab w:val="right" w:pos="9071"/>
      </w:tabs>
      <w:rPr>
        <w:sz w:val="16"/>
        <w:szCs w:val="16"/>
      </w:rPr>
    </w:pPr>
    <w:r w:rsidRPr="003D109D">
      <w:rPr>
        <w:color w:val="595959"/>
        <w:sz w:val="16"/>
        <w:szCs w:val="16"/>
      </w:rPr>
      <w:t>Revista Saúde (Santa Maria) 2026 Ed. Especial ANAIS 19º ENDOSUL</w:t>
    </w:r>
    <w:r w:rsidRPr="003D109D">
      <w:rPr>
        <w:sz w:val="16"/>
        <w:szCs w:val="16"/>
      </w:rPr>
      <w:tab/>
    </w:r>
    <w:r w:rsidRPr="003D109D">
      <w:rPr>
        <w:color w:val="595959"/>
        <w:sz w:val="16"/>
        <w:szCs w:val="16"/>
      </w:rPr>
      <w:fldChar w:fldCharType="begin"/>
    </w:r>
    <w:r w:rsidRPr="003D109D">
      <w:rPr>
        <w:color w:val="595959"/>
        <w:sz w:val="16"/>
        <w:szCs w:val="16"/>
      </w:rPr>
      <w:instrText>PAGE</w:instrText>
    </w:r>
    <w:r w:rsidRPr="003D109D">
      <w:rPr>
        <w:color w:val="595959"/>
        <w:sz w:val="16"/>
        <w:szCs w:val="16"/>
      </w:rPr>
      <w:fldChar w:fldCharType="separate"/>
    </w:r>
    <w:r w:rsidRPr="003D109D">
      <w:rPr>
        <w:color w:val="595959"/>
        <w:sz w:val="16"/>
        <w:szCs w:val="16"/>
      </w:rPr>
      <w:t>25</w:t>
    </w:r>
    <w:r w:rsidRPr="003D109D">
      <w:rPr>
        <w:color w:val="595959"/>
        <w:sz w:val="16"/>
        <w:szCs w:val="16"/>
      </w:rPr>
      <w:fldChar w:fldCharType="end"/>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142</w:t>
    </w:r>
    <w:r>
      <w:rPr>
        <w:color w:val="595959"/>
        <w:sz w:val="18"/>
      </w:rPr>
      <w:fldChar w:fldCharType="end"/>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143</w:t>
    </w:r>
    <w:r>
      <w:rPr>
        <w:color w:val="595959"/>
        <w:sz w:val="18"/>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144</w:t>
    </w:r>
    <w:r>
      <w:rPr>
        <w:color w:val="595959"/>
        <w:sz w:val="18"/>
      </w:rPr>
      <w:fldChar w:fldCharType="end"/>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145</w:t>
    </w:r>
    <w:r>
      <w:rPr>
        <w:color w:val="595959"/>
        <w:sz w:val="18"/>
      </w:rPr>
      <w:fldChar w:fldCharType="end"/>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146</w:t>
    </w:r>
    <w:r>
      <w:rPr>
        <w:color w:val="595959"/>
        <w:sz w:val="18"/>
      </w:rPr>
      <w:fldChar w:fldCharType="end"/>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147</w:t>
    </w:r>
    <w:r>
      <w:rPr>
        <w:color w:val="595959"/>
        <w:sz w:val="18"/>
      </w:rPr>
      <w:fldChar w:fldCharType="end"/>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148</w:t>
    </w:r>
    <w:r>
      <w:rPr>
        <w:color w:val="595959"/>
        <w:sz w:val="18"/>
      </w:rPr>
      <w:fldChar w:fldCharType="end"/>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149</w:t>
    </w:r>
    <w:r>
      <w:rPr>
        <w:color w:val="595959"/>
        <w:sz w:val="18"/>
      </w:rPr>
      <w:fldChar w:fldCharType="end"/>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150</w:t>
    </w:r>
    <w:r>
      <w:rPr>
        <w:color w:val="595959"/>
        <w:sz w:val="18"/>
      </w:rPr>
      <w:fldChar w:fldCharType="end"/>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151</w:t>
    </w:r>
    <w:r>
      <w:rPr>
        <w:color w:val="595959"/>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232B1E" w:rsidRDefault="00CD5EEE">
    <w:pPr>
      <w:tabs>
        <w:tab w:val="right" w:pos="9071"/>
      </w:tabs>
      <w:rPr>
        <w:sz w:val="16"/>
        <w:szCs w:val="16"/>
      </w:rPr>
    </w:pPr>
    <w:r w:rsidRPr="00232B1E">
      <w:rPr>
        <w:color w:val="595959"/>
        <w:sz w:val="16"/>
        <w:szCs w:val="16"/>
      </w:rPr>
      <w:t>Revista Saúde (Santa Maria) 2026 Ed. Especial ANAIS 19º ENDOSUL</w:t>
    </w:r>
    <w:r w:rsidRPr="00232B1E">
      <w:rPr>
        <w:sz w:val="16"/>
        <w:szCs w:val="16"/>
      </w:rPr>
      <w:tab/>
    </w:r>
    <w:r w:rsidRPr="00232B1E">
      <w:rPr>
        <w:color w:val="595959"/>
        <w:sz w:val="16"/>
        <w:szCs w:val="16"/>
      </w:rPr>
      <w:fldChar w:fldCharType="begin"/>
    </w:r>
    <w:r w:rsidRPr="00232B1E">
      <w:rPr>
        <w:color w:val="595959"/>
        <w:sz w:val="16"/>
        <w:szCs w:val="16"/>
      </w:rPr>
      <w:instrText>PAGE</w:instrText>
    </w:r>
    <w:r w:rsidRPr="00232B1E">
      <w:rPr>
        <w:color w:val="595959"/>
        <w:sz w:val="16"/>
        <w:szCs w:val="16"/>
      </w:rPr>
      <w:fldChar w:fldCharType="separate"/>
    </w:r>
    <w:r w:rsidRPr="00232B1E">
      <w:rPr>
        <w:color w:val="595959"/>
        <w:sz w:val="16"/>
        <w:szCs w:val="16"/>
      </w:rPr>
      <w:t>26</w:t>
    </w:r>
    <w:r w:rsidRPr="00232B1E">
      <w:rPr>
        <w:color w:val="595959"/>
        <w:sz w:val="16"/>
        <w:szCs w:val="16"/>
      </w:rPr>
      <w:fldChar w:fldCharType="end"/>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152</w:t>
    </w:r>
    <w:r>
      <w:rPr>
        <w:color w:val="595959"/>
        <w:sz w:val="18"/>
      </w:rPr>
      <w:fldChar w:fldCharType="end"/>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153</w:t>
    </w:r>
    <w:r>
      <w:rPr>
        <w:color w:val="595959"/>
        <w:sz w:val="18"/>
      </w:rPr>
      <w:fldChar w:fldCharType="end"/>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154</w:t>
    </w:r>
    <w:r>
      <w:rPr>
        <w:color w:val="595959"/>
        <w:sz w:val="18"/>
      </w:rPr>
      <w:fldChar w:fldCharType="end"/>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155</w:t>
    </w:r>
    <w:r>
      <w:rPr>
        <w:color w:val="595959"/>
        <w:sz w:val="18"/>
      </w:rPr>
      <w:fldChar w:fldCharType="end"/>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156</w:t>
    </w:r>
    <w:r>
      <w:rPr>
        <w:color w:val="595959"/>
        <w:sz w:val="18"/>
      </w:rPr>
      <w:fldChar w:fldCharType="end"/>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157</w:t>
    </w:r>
    <w:r>
      <w:rPr>
        <w:color w:val="595959"/>
        <w:sz w:val="18"/>
      </w:rPr>
      <w:fldChar w:fldCharType="end"/>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158</w:t>
    </w:r>
    <w:r>
      <w:rPr>
        <w:color w:val="595959"/>
        <w:sz w:val="18"/>
      </w:rPr>
      <w:fldChar w:fldCharType="end"/>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159</w:t>
    </w:r>
    <w:r>
      <w:rPr>
        <w:color w:val="595959"/>
        <w:sz w:val="18"/>
      </w:rPr>
      <w:fldChar w:fldCharType="end"/>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160</w:t>
    </w:r>
    <w:r>
      <w:rPr>
        <w:color w:val="595959"/>
        <w:sz w:val="18"/>
      </w:rPr>
      <w:fldChar w:fldCharType="end"/>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161</w:t>
    </w:r>
    <w:r>
      <w:rPr>
        <w:color w:val="595959"/>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A5D26" w:rsidRDefault="00CD5EEE">
    <w:pPr>
      <w:tabs>
        <w:tab w:val="right" w:pos="9071"/>
      </w:tabs>
      <w:rPr>
        <w:sz w:val="16"/>
        <w:szCs w:val="16"/>
      </w:rPr>
    </w:pPr>
    <w:r w:rsidRPr="007A5D26">
      <w:rPr>
        <w:color w:val="595959"/>
        <w:sz w:val="16"/>
        <w:szCs w:val="16"/>
      </w:rPr>
      <w:t>Revista Saúde (Santa Maria) 2026 Ed. Especial ANAIS 19º ENDOSUL</w:t>
    </w:r>
    <w:r w:rsidRPr="007A5D26">
      <w:rPr>
        <w:sz w:val="16"/>
        <w:szCs w:val="16"/>
      </w:rPr>
      <w:tab/>
    </w:r>
    <w:r w:rsidRPr="007A5D26">
      <w:rPr>
        <w:color w:val="595959"/>
        <w:sz w:val="16"/>
        <w:szCs w:val="16"/>
      </w:rPr>
      <w:fldChar w:fldCharType="begin"/>
    </w:r>
    <w:r w:rsidRPr="007A5D26">
      <w:rPr>
        <w:color w:val="595959"/>
        <w:sz w:val="16"/>
        <w:szCs w:val="16"/>
      </w:rPr>
      <w:instrText>PAGE</w:instrText>
    </w:r>
    <w:r w:rsidRPr="007A5D26">
      <w:rPr>
        <w:color w:val="595959"/>
        <w:sz w:val="16"/>
        <w:szCs w:val="16"/>
      </w:rPr>
      <w:fldChar w:fldCharType="separate"/>
    </w:r>
    <w:r w:rsidRPr="007A5D26">
      <w:rPr>
        <w:color w:val="595959"/>
        <w:sz w:val="16"/>
        <w:szCs w:val="16"/>
      </w:rPr>
      <w:t>27</w:t>
    </w:r>
    <w:r w:rsidRPr="007A5D26">
      <w:rPr>
        <w:color w:val="595959"/>
        <w:sz w:val="16"/>
        <w:szCs w:val="16"/>
      </w:rPr>
      <w:fldChar w:fldCharType="end"/>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162</w:t>
    </w:r>
    <w:r>
      <w:rPr>
        <w:color w:val="595959"/>
        <w:sz w:val="18"/>
      </w:rPr>
      <w:fldChar w:fldCharType="end"/>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163</w:t>
    </w:r>
    <w:r>
      <w:rPr>
        <w:color w:val="595959"/>
        <w:sz w:val="18"/>
      </w:rPr>
      <w:fldChar w:fldCharType="end"/>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164</w:t>
    </w:r>
    <w:r>
      <w:rPr>
        <w:color w:val="595959"/>
        <w:sz w:val="18"/>
      </w:rPr>
      <w:fldChar w:fldCharType="end"/>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165</w:t>
    </w:r>
    <w:r>
      <w:rPr>
        <w:color w:val="595959"/>
        <w:sz w:val="18"/>
      </w:rPr>
      <w:fldChar w:fldCharType="end"/>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166</w:t>
    </w:r>
    <w:r>
      <w:rPr>
        <w:color w:val="595959"/>
        <w:sz w:val="18"/>
      </w:rPr>
      <w:fldChar w:fldCharType="end"/>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167</w:t>
    </w:r>
    <w:r>
      <w:rPr>
        <w:color w:val="595959"/>
        <w:sz w:val="18"/>
      </w:rPr>
      <w:fldChar w:fldCharType="end"/>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168</w:t>
    </w:r>
    <w:r>
      <w:rPr>
        <w:color w:val="595959"/>
        <w:sz w:val="18"/>
      </w:rPr>
      <w:fldChar w:fldCharType="end"/>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169</w:t>
    </w:r>
    <w:r>
      <w:rPr>
        <w:color w:val="595959"/>
        <w:sz w:val="18"/>
      </w:rPr>
      <w:fldChar w:fldCharType="end"/>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170</w:t>
    </w:r>
    <w:r>
      <w:rPr>
        <w:color w:val="595959"/>
        <w:sz w:val="18"/>
      </w:rPr>
      <w:fldChar w:fldCharType="end"/>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171</w:t>
    </w:r>
    <w:r>
      <w:rPr>
        <w:color w:val="595959"/>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A5D26" w:rsidRDefault="00CD5EEE">
    <w:pPr>
      <w:tabs>
        <w:tab w:val="right" w:pos="9071"/>
      </w:tabs>
      <w:rPr>
        <w:sz w:val="16"/>
        <w:szCs w:val="16"/>
      </w:rPr>
    </w:pPr>
    <w:r w:rsidRPr="007A5D26">
      <w:rPr>
        <w:color w:val="595959"/>
        <w:sz w:val="16"/>
        <w:szCs w:val="16"/>
      </w:rPr>
      <w:t>Revista Saúde (Santa Maria) 2026 Ed. Especial ANAIS 19º ENDOSUL</w:t>
    </w:r>
    <w:r w:rsidRPr="007A5D26">
      <w:rPr>
        <w:sz w:val="16"/>
        <w:szCs w:val="16"/>
      </w:rPr>
      <w:tab/>
    </w:r>
    <w:r w:rsidRPr="007A5D26">
      <w:rPr>
        <w:color w:val="595959"/>
        <w:sz w:val="16"/>
        <w:szCs w:val="16"/>
      </w:rPr>
      <w:fldChar w:fldCharType="begin"/>
    </w:r>
    <w:r w:rsidRPr="007A5D26">
      <w:rPr>
        <w:color w:val="595959"/>
        <w:sz w:val="16"/>
        <w:szCs w:val="16"/>
      </w:rPr>
      <w:instrText>PAGE</w:instrText>
    </w:r>
    <w:r w:rsidRPr="007A5D26">
      <w:rPr>
        <w:color w:val="595959"/>
        <w:sz w:val="16"/>
        <w:szCs w:val="16"/>
      </w:rPr>
      <w:fldChar w:fldCharType="separate"/>
    </w:r>
    <w:r w:rsidRPr="007A5D26">
      <w:rPr>
        <w:color w:val="595959"/>
        <w:sz w:val="16"/>
        <w:szCs w:val="16"/>
      </w:rPr>
      <w:t>28</w:t>
    </w:r>
    <w:r w:rsidRPr="007A5D26">
      <w:rPr>
        <w:color w:val="595959"/>
        <w:sz w:val="16"/>
        <w:szCs w:val="16"/>
      </w:rPr>
      <w:fldChar w:fldCharType="end"/>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172</w:t>
    </w:r>
    <w:r>
      <w:rPr>
        <w:color w:val="595959"/>
        <w:sz w:val="18"/>
      </w:rPr>
      <w:fldChar w:fldCharType="end"/>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173</w:t>
    </w:r>
    <w:r>
      <w:rPr>
        <w:color w:val="595959"/>
        <w:sz w:val="18"/>
      </w:rPr>
      <w:fldChar w:fldCharType="end"/>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174</w:t>
    </w:r>
    <w:r>
      <w:rPr>
        <w:color w:val="595959"/>
        <w:sz w:val="18"/>
      </w:rPr>
      <w:fldChar w:fldCharType="end"/>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175</w:t>
    </w:r>
    <w:r>
      <w:rPr>
        <w:color w:val="595959"/>
        <w:sz w:val="18"/>
      </w:rPr>
      <w:fldChar w:fldCharType="end"/>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176</w:t>
    </w:r>
    <w:r>
      <w:rPr>
        <w:color w:val="595959"/>
        <w:sz w:val="18"/>
      </w:rPr>
      <w:fldChar w:fldCharType="end"/>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177</w:t>
    </w:r>
    <w:r>
      <w:rPr>
        <w:color w:val="595959"/>
        <w:sz w:val="18"/>
      </w:rPr>
      <w:fldChar w:fldCharType="end"/>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178</w:t>
    </w:r>
    <w:r>
      <w:rPr>
        <w:color w:val="595959"/>
        <w:sz w:val="18"/>
      </w:rPr>
      <w:fldChar w:fldCharType="end"/>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179</w:t>
    </w:r>
    <w:r>
      <w:rPr>
        <w:color w:val="595959"/>
        <w:sz w:val="18"/>
      </w:rPr>
      <w:fldChar w:fldCharType="end"/>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180</w:t>
    </w:r>
    <w:r>
      <w:rPr>
        <w:color w:val="595959"/>
        <w:sz w:val="18"/>
      </w:rPr>
      <w:fldChar w:fldCharType="end"/>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181</w:t>
    </w:r>
    <w:r>
      <w:rPr>
        <w:color w:val="595959"/>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14276" w:rsidRDefault="00CD5EEE">
    <w:pPr>
      <w:tabs>
        <w:tab w:val="right" w:pos="9071"/>
      </w:tabs>
      <w:rPr>
        <w:sz w:val="16"/>
        <w:szCs w:val="16"/>
      </w:rPr>
    </w:pPr>
    <w:r w:rsidRPr="00614276">
      <w:rPr>
        <w:color w:val="595959"/>
        <w:sz w:val="16"/>
        <w:szCs w:val="16"/>
      </w:rPr>
      <w:t>Revista Saúde (Santa Maria) 2026 Ed. Especial ANAIS 19º ENDOSUL</w:t>
    </w:r>
    <w:r w:rsidRPr="00614276">
      <w:rPr>
        <w:sz w:val="16"/>
        <w:szCs w:val="16"/>
      </w:rPr>
      <w:tab/>
    </w:r>
    <w:r w:rsidRPr="00614276">
      <w:rPr>
        <w:color w:val="595959"/>
        <w:sz w:val="16"/>
        <w:szCs w:val="16"/>
      </w:rPr>
      <w:fldChar w:fldCharType="begin"/>
    </w:r>
    <w:r w:rsidRPr="00614276">
      <w:rPr>
        <w:color w:val="595959"/>
        <w:sz w:val="16"/>
        <w:szCs w:val="16"/>
      </w:rPr>
      <w:instrText>PAGE</w:instrText>
    </w:r>
    <w:r w:rsidRPr="00614276">
      <w:rPr>
        <w:color w:val="595959"/>
        <w:sz w:val="16"/>
        <w:szCs w:val="16"/>
      </w:rPr>
      <w:fldChar w:fldCharType="separate"/>
    </w:r>
    <w:r w:rsidRPr="00614276">
      <w:rPr>
        <w:color w:val="595959"/>
        <w:sz w:val="16"/>
        <w:szCs w:val="16"/>
      </w:rPr>
      <w:t>29</w:t>
    </w:r>
    <w:r w:rsidRPr="00614276">
      <w:rPr>
        <w:color w:val="595959"/>
        <w:sz w:val="16"/>
        <w:szCs w:val="16"/>
      </w:rPr>
      <w:fldChar w:fldCharType="end"/>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182</w:t>
    </w:r>
    <w:r>
      <w:rPr>
        <w:color w:val="595959"/>
        <w:sz w:val="18"/>
      </w:rPr>
      <w:fldChar w:fldCharType="end"/>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183</w:t>
    </w:r>
    <w:r>
      <w:rPr>
        <w:color w:val="595959"/>
        <w:sz w:val="18"/>
      </w:rPr>
      <w:fldChar w:fldCharType="end"/>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184</w:t>
    </w:r>
    <w:r>
      <w:rPr>
        <w:color w:val="595959"/>
        <w:sz w:val="18"/>
      </w:rPr>
      <w:fldChar w:fldCharType="end"/>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185</w:t>
    </w:r>
    <w:r>
      <w:rPr>
        <w:color w:val="595959"/>
        <w:sz w:val="18"/>
      </w:rPr>
      <w:fldChar w:fldCharType="end"/>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186</w:t>
    </w:r>
    <w:r>
      <w:rPr>
        <w:color w:val="595959"/>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14276" w:rsidRDefault="00CD5EEE">
    <w:pPr>
      <w:tabs>
        <w:tab w:val="right" w:pos="9071"/>
      </w:tabs>
      <w:rPr>
        <w:sz w:val="16"/>
        <w:szCs w:val="16"/>
      </w:rPr>
    </w:pPr>
    <w:r w:rsidRPr="00614276">
      <w:rPr>
        <w:color w:val="595959"/>
        <w:sz w:val="16"/>
        <w:szCs w:val="16"/>
      </w:rPr>
      <w:t>Revista Saúde (Santa Maria) 2026 Ed. Especial ANAIS 19º ENDOSUL</w:t>
    </w:r>
    <w:r w:rsidRPr="00614276">
      <w:rPr>
        <w:sz w:val="16"/>
        <w:szCs w:val="16"/>
      </w:rPr>
      <w:tab/>
    </w:r>
    <w:r w:rsidRPr="00614276">
      <w:rPr>
        <w:color w:val="595959"/>
        <w:sz w:val="16"/>
        <w:szCs w:val="16"/>
      </w:rPr>
      <w:fldChar w:fldCharType="begin"/>
    </w:r>
    <w:r w:rsidRPr="00614276">
      <w:rPr>
        <w:color w:val="595959"/>
        <w:sz w:val="16"/>
        <w:szCs w:val="16"/>
      </w:rPr>
      <w:instrText>PAGE</w:instrText>
    </w:r>
    <w:r w:rsidRPr="00614276">
      <w:rPr>
        <w:color w:val="595959"/>
        <w:sz w:val="16"/>
        <w:szCs w:val="16"/>
      </w:rPr>
      <w:fldChar w:fldCharType="separate"/>
    </w:r>
    <w:r w:rsidRPr="00614276">
      <w:rPr>
        <w:color w:val="595959"/>
        <w:sz w:val="16"/>
        <w:szCs w:val="16"/>
      </w:rPr>
      <w:t>30</w:t>
    </w:r>
    <w:r w:rsidRPr="00614276">
      <w:rPr>
        <w:color w:val="595959"/>
        <w:sz w:val="16"/>
        <w:szCs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31</w:t>
    </w:r>
    <w:r>
      <w:rPr>
        <w:color w:val="595959"/>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A1377" w:rsidRDefault="00CD5EEE">
    <w:pPr>
      <w:tabs>
        <w:tab w:val="right" w:pos="9071"/>
      </w:tabs>
      <w:rPr>
        <w:sz w:val="16"/>
        <w:szCs w:val="16"/>
      </w:rPr>
    </w:pPr>
    <w:r w:rsidRPr="00FA1377">
      <w:rPr>
        <w:color w:val="595959"/>
        <w:sz w:val="16"/>
        <w:szCs w:val="16"/>
      </w:rPr>
      <w:t>Revista Saúde (Santa Maria) 2026 Ed. Especial ANAIS 19º ENDOSUL</w:t>
    </w:r>
    <w:r w:rsidRPr="00FA1377">
      <w:rPr>
        <w:sz w:val="16"/>
        <w:szCs w:val="16"/>
      </w:rPr>
      <w:tab/>
    </w:r>
    <w:r w:rsidRPr="00FA1377">
      <w:rPr>
        <w:color w:val="595959"/>
        <w:sz w:val="16"/>
        <w:szCs w:val="16"/>
      </w:rPr>
      <w:fldChar w:fldCharType="begin"/>
    </w:r>
    <w:r w:rsidRPr="00FA1377">
      <w:rPr>
        <w:color w:val="595959"/>
        <w:sz w:val="16"/>
        <w:szCs w:val="16"/>
      </w:rPr>
      <w:instrText>PAGE</w:instrText>
    </w:r>
    <w:r w:rsidRPr="00FA1377">
      <w:rPr>
        <w:color w:val="595959"/>
        <w:sz w:val="16"/>
        <w:szCs w:val="16"/>
      </w:rPr>
      <w:fldChar w:fldCharType="separate"/>
    </w:r>
    <w:r w:rsidRPr="00FA1377">
      <w:rPr>
        <w:color w:val="595959"/>
        <w:sz w:val="16"/>
        <w:szCs w:val="16"/>
      </w:rPr>
      <w:t>14</w:t>
    </w:r>
    <w:r w:rsidRPr="00FA1377">
      <w:rPr>
        <w:color w:val="595959"/>
        <w:sz w:val="16"/>
        <w:szCs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14276" w:rsidRDefault="00CD5EEE">
    <w:pPr>
      <w:tabs>
        <w:tab w:val="right" w:pos="9071"/>
      </w:tabs>
      <w:rPr>
        <w:sz w:val="16"/>
        <w:szCs w:val="16"/>
      </w:rPr>
    </w:pPr>
    <w:r w:rsidRPr="00614276">
      <w:rPr>
        <w:color w:val="595959"/>
        <w:sz w:val="16"/>
        <w:szCs w:val="16"/>
      </w:rPr>
      <w:t>Revista Saúde (Santa Maria) 2026 Ed. Especial ANAIS 19º ENDOSUL</w:t>
    </w:r>
    <w:r w:rsidRPr="00614276">
      <w:rPr>
        <w:sz w:val="16"/>
        <w:szCs w:val="16"/>
      </w:rPr>
      <w:tab/>
    </w:r>
    <w:r w:rsidRPr="00614276">
      <w:rPr>
        <w:color w:val="595959"/>
        <w:sz w:val="16"/>
        <w:szCs w:val="16"/>
      </w:rPr>
      <w:fldChar w:fldCharType="begin"/>
    </w:r>
    <w:r w:rsidRPr="00614276">
      <w:rPr>
        <w:color w:val="595959"/>
        <w:sz w:val="16"/>
        <w:szCs w:val="16"/>
      </w:rPr>
      <w:instrText>PAGE</w:instrText>
    </w:r>
    <w:r w:rsidRPr="00614276">
      <w:rPr>
        <w:color w:val="595959"/>
        <w:sz w:val="16"/>
        <w:szCs w:val="16"/>
      </w:rPr>
      <w:fldChar w:fldCharType="separate"/>
    </w:r>
    <w:r w:rsidRPr="00614276">
      <w:rPr>
        <w:color w:val="595959"/>
        <w:sz w:val="16"/>
        <w:szCs w:val="16"/>
      </w:rPr>
      <w:t>32</w:t>
    </w:r>
    <w:r w:rsidRPr="00614276">
      <w:rPr>
        <w:color w:val="595959"/>
        <w:sz w:val="16"/>
        <w:szCs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33</w:t>
    </w:r>
    <w:r>
      <w:rPr>
        <w:color w:val="595959"/>
        <w:sz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21789" w:rsidRDefault="00CD5EEE">
    <w:pPr>
      <w:tabs>
        <w:tab w:val="right" w:pos="9071"/>
      </w:tabs>
      <w:rPr>
        <w:sz w:val="16"/>
        <w:szCs w:val="16"/>
      </w:rPr>
    </w:pPr>
    <w:r w:rsidRPr="00721789">
      <w:rPr>
        <w:color w:val="595959"/>
        <w:sz w:val="16"/>
        <w:szCs w:val="16"/>
      </w:rPr>
      <w:t>Revista Saúde (Santa Maria) 2026 Ed. Especial ANAIS 19º ENDOSUL</w:t>
    </w:r>
    <w:r w:rsidRPr="00721789">
      <w:rPr>
        <w:sz w:val="16"/>
        <w:szCs w:val="16"/>
      </w:rPr>
      <w:tab/>
    </w:r>
    <w:r w:rsidRPr="00721789">
      <w:rPr>
        <w:color w:val="595959"/>
        <w:sz w:val="16"/>
        <w:szCs w:val="16"/>
      </w:rPr>
      <w:fldChar w:fldCharType="begin"/>
    </w:r>
    <w:r w:rsidRPr="00721789">
      <w:rPr>
        <w:color w:val="595959"/>
        <w:sz w:val="16"/>
        <w:szCs w:val="16"/>
      </w:rPr>
      <w:instrText>PAGE</w:instrText>
    </w:r>
    <w:r w:rsidRPr="00721789">
      <w:rPr>
        <w:color w:val="595959"/>
        <w:sz w:val="16"/>
        <w:szCs w:val="16"/>
      </w:rPr>
      <w:fldChar w:fldCharType="separate"/>
    </w:r>
    <w:r w:rsidRPr="00721789">
      <w:rPr>
        <w:color w:val="595959"/>
        <w:sz w:val="16"/>
        <w:szCs w:val="16"/>
      </w:rPr>
      <w:t>34</w:t>
    </w:r>
    <w:r w:rsidRPr="00721789">
      <w:rPr>
        <w:color w:val="595959"/>
        <w:sz w:val="16"/>
        <w:szCs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35</w:t>
    </w:r>
    <w:r>
      <w:rPr>
        <w:color w:val="595959"/>
        <w:sz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36</w:t>
    </w:r>
    <w:r>
      <w:rPr>
        <w:color w:val="595959"/>
        <w:sz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tabs>
        <w:tab w:val="right" w:pos="9071"/>
      </w:tabs>
      <w:rPr>
        <w:sz w:val="16"/>
        <w:szCs w:val="16"/>
      </w:rPr>
    </w:pPr>
    <w:r w:rsidRPr="0064145B">
      <w:rPr>
        <w:color w:val="595959"/>
        <w:sz w:val="16"/>
        <w:szCs w:val="16"/>
      </w:rPr>
      <w:t>Revista Saúde (Santa Maria) 2026 Ed. Especial ANAIS 19º ENDOSUL</w:t>
    </w:r>
    <w:r w:rsidRPr="0064145B">
      <w:rPr>
        <w:sz w:val="16"/>
        <w:szCs w:val="16"/>
      </w:rPr>
      <w:tab/>
    </w:r>
    <w:r w:rsidRPr="0064145B">
      <w:rPr>
        <w:color w:val="595959"/>
        <w:sz w:val="16"/>
        <w:szCs w:val="16"/>
      </w:rPr>
      <w:fldChar w:fldCharType="begin"/>
    </w:r>
    <w:r w:rsidRPr="0064145B">
      <w:rPr>
        <w:color w:val="595959"/>
        <w:sz w:val="16"/>
        <w:szCs w:val="16"/>
      </w:rPr>
      <w:instrText>PAGE</w:instrText>
    </w:r>
    <w:r w:rsidRPr="0064145B">
      <w:rPr>
        <w:color w:val="595959"/>
        <w:sz w:val="16"/>
        <w:szCs w:val="16"/>
      </w:rPr>
      <w:fldChar w:fldCharType="separate"/>
    </w:r>
    <w:r w:rsidRPr="0064145B">
      <w:rPr>
        <w:color w:val="595959"/>
        <w:sz w:val="16"/>
        <w:szCs w:val="16"/>
      </w:rPr>
      <w:t>37</w:t>
    </w:r>
    <w:r w:rsidRPr="0064145B">
      <w:rPr>
        <w:color w:val="595959"/>
        <w:sz w:val="16"/>
        <w:szCs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38</w:t>
    </w:r>
    <w:r>
      <w:rPr>
        <w:color w:val="595959"/>
        <w:sz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39</w:t>
    </w:r>
    <w:r>
      <w:rPr>
        <w:color w:val="595959"/>
        <w:sz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20DBA" w:rsidRDefault="00CD5EEE">
    <w:pPr>
      <w:tabs>
        <w:tab w:val="right" w:pos="9071"/>
      </w:tabs>
      <w:rPr>
        <w:sz w:val="16"/>
        <w:szCs w:val="16"/>
      </w:rPr>
    </w:pPr>
    <w:r w:rsidRPr="00420DBA">
      <w:rPr>
        <w:color w:val="595959"/>
        <w:sz w:val="16"/>
        <w:szCs w:val="16"/>
      </w:rPr>
      <w:t>Revista Saúde (Santa Maria) 2026 Ed. Especial ANAIS 19º ENDOSUL</w:t>
    </w:r>
    <w:r w:rsidRPr="00420DBA">
      <w:rPr>
        <w:sz w:val="16"/>
        <w:szCs w:val="16"/>
      </w:rPr>
      <w:tab/>
    </w:r>
    <w:r w:rsidRPr="00420DBA">
      <w:rPr>
        <w:color w:val="595959"/>
        <w:sz w:val="16"/>
        <w:szCs w:val="16"/>
      </w:rPr>
      <w:fldChar w:fldCharType="begin"/>
    </w:r>
    <w:r w:rsidRPr="00420DBA">
      <w:rPr>
        <w:color w:val="595959"/>
        <w:sz w:val="16"/>
        <w:szCs w:val="16"/>
      </w:rPr>
      <w:instrText>PAGE</w:instrText>
    </w:r>
    <w:r w:rsidRPr="00420DBA">
      <w:rPr>
        <w:color w:val="595959"/>
        <w:sz w:val="16"/>
        <w:szCs w:val="16"/>
      </w:rPr>
      <w:fldChar w:fldCharType="separate"/>
    </w:r>
    <w:r w:rsidRPr="00420DBA">
      <w:rPr>
        <w:color w:val="595959"/>
        <w:sz w:val="16"/>
        <w:szCs w:val="16"/>
      </w:rPr>
      <w:t>40</w:t>
    </w:r>
    <w:r w:rsidRPr="00420DBA">
      <w:rPr>
        <w:color w:val="595959"/>
        <w:sz w:val="16"/>
        <w:szCs w:val="16"/>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tabs>
        <w:tab w:val="right" w:pos="9071"/>
      </w:tabs>
      <w:rPr>
        <w:sz w:val="16"/>
        <w:szCs w:val="16"/>
      </w:rPr>
    </w:pPr>
    <w:r w:rsidRPr="00AF39C9">
      <w:rPr>
        <w:color w:val="595959"/>
        <w:sz w:val="16"/>
        <w:szCs w:val="16"/>
      </w:rPr>
      <w:t>Revista Saúde (Santa Maria) 2026 Ed. Especial ANAIS 19º ENDOSUL</w:t>
    </w:r>
    <w:r w:rsidRPr="00AF39C9">
      <w:rPr>
        <w:sz w:val="16"/>
        <w:szCs w:val="16"/>
      </w:rPr>
      <w:tab/>
    </w:r>
    <w:r w:rsidRPr="00AF39C9">
      <w:rPr>
        <w:color w:val="595959"/>
        <w:sz w:val="16"/>
        <w:szCs w:val="16"/>
      </w:rPr>
      <w:fldChar w:fldCharType="begin"/>
    </w:r>
    <w:r w:rsidRPr="00AF39C9">
      <w:rPr>
        <w:color w:val="595959"/>
        <w:sz w:val="16"/>
        <w:szCs w:val="16"/>
      </w:rPr>
      <w:instrText>PAGE</w:instrText>
    </w:r>
    <w:r w:rsidRPr="00AF39C9">
      <w:rPr>
        <w:color w:val="595959"/>
        <w:sz w:val="16"/>
        <w:szCs w:val="16"/>
      </w:rPr>
      <w:fldChar w:fldCharType="separate"/>
    </w:r>
    <w:r w:rsidRPr="00AF39C9">
      <w:rPr>
        <w:color w:val="595959"/>
        <w:sz w:val="16"/>
        <w:szCs w:val="16"/>
      </w:rPr>
      <w:t>41</w:t>
    </w:r>
    <w:r w:rsidRPr="00AF39C9">
      <w:rPr>
        <w:color w:val="59595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A1377" w:rsidRDefault="00CD5EEE">
    <w:pPr>
      <w:tabs>
        <w:tab w:val="right" w:pos="9071"/>
      </w:tabs>
      <w:rPr>
        <w:sz w:val="16"/>
        <w:szCs w:val="16"/>
      </w:rPr>
    </w:pPr>
    <w:r w:rsidRPr="00FA1377">
      <w:rPr>
        <w:color w:val="595959"/>
        <w:sz w:val="16"/>
        <w:szCs w:val="16"/>
      </w:rPr>
      <w:t>Revista Saúde (Santa Maria) 2026 Ed. Especial ANAIS 19º ENDOSUL</w:t>
    </w:r>
    <w:r w:rsidRPr="00FA1377">
      <w:rPr>
        <w:sz w:val="16"/>
        <w:szCs w:val="16"/>
      </w:rPr>
      <w:tab/>
    </w:r>
    <w:r w:rsidRPr="00FA1377">
      <w:rPr>
        <w:color w:val="595959"/>
        <w:sz w:val="16"/>
        <w:szCs w:val="16"/>
      </w:rPr>
      <w:fldChar w:fldCharType="begin"/>
    </w:r>
    <w:r w:rsidRPr="00FA1377">
      <w:rPr>
        <w:color w:val="595959"/>
        <w:sz w:val="16"/>
        <w:szCs w:val="16"/>
      </w:rPr>
      <w:instrText>PAGE</w:instrText>
    </w:r>
    <w:r w:rsidRPr="00FA1377">
      <w:rPr>
        <w:color w:val="595959"/>
        <w:sz w:val="16"/>
        <w:szCs w:val="16"/>
      </w:rPr>
      <w:fldChar w:fldCharType="separate"/>
    </w:r>
    <w:r w:rsidRPr="00FA1377">
      <w:rPr>
        <w:color w:val="595959"/>
        <w:sz w:val="16"/>
        <w:szCs w:val="16"/>
      </w:rPr>
      <w:t>15</w:t>
    </w:r>
    <w:r w:rsidRPr="00FA1377">
      <w:rPr>
        <w:color w:val="595959"/>
        <w:sz w:val="16"/>
        <w:szCs w:val="16"/>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tabs>
        <w:tab w:val="right" w:pos="9071"/>
      </w:tabs>
      <w:rPr>
        <w:sz w:val="16"/>
        <w:szCs w:val="16"/>
      </w:rPr>
    </w:pPr>
    <w:r w:rsidRPr="00AF39C9">
      <w:rPr>
        <w:color w:val="595959"/>
        <w:sz w:val="16"/>
        <w:szCs w:val="16"/>
      </w:rPr>
      <w:t>Revista Saúde (Santa Maria) 2026 Ed. Especial ANAIS 19º ENDOSUL</w:t>
    </w:r>
    <w:r w:rsidRPr="00AF39C9">
      <w:rPr>
        <w:sz w:val="16"/>
        <w:szCs w:val="16"/>
      </w:rPr>
      <w:tab/>
    </w:r>
    <w:r w:rsidRPr="00AF39C9">
      <w:rPr>
        <w:color w:val="595959"/>
        <w:sz w:val="16"/>
        <w:szCs w:val="16"/>
      </w:rPr>
      <w:fldChar w:fldCharType="begin"/>
    </w:r>
    <w:r w:rsidRPr="00AF39C9">
      <w:rPr>
        <w:color w:val="595959"/>
        <w:sz w:val="16"/>
        <w:szCs w:val="16"/>
      </w:rPr>
      <w:instrText>PAGE</w:instrText>
    </w:r>
    <w:r w:rsidRPr="00AF39C9">
      <w:rPr>
        <w:color w:val="595959"/>
        <w:sz w:val="16"/>
        <w:szCs w:val="16"/>
      </w:rPr>
      <w:fldChar w:fldCharType="separate"/>
    </w:r>
    <w:r w:rsidRPr="00AF39C9">
      <w:rPr>
        <w:color w:val="595959"/>
        <w:sz w:val="16"/>
        <w:szCs w:val="16"/>
      </w:rPr>
      <w:t>42</w:t>
    </w:r>
    <w:r w:rsidRPr="00AF39C9">
      <w:rPr>
        <w:color w:val="595959"/>
        <w:sz w:val="16"/>
        <w:szCs w:val="16"/>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tabs>
        <w:tab w:val="right" w:pos="9071"/>
      </w:tabs>
      <w:rPr>
        <w:sz w:val="16"/>
        <w:szCs w:val="16"/>
      </w:rPr>
    </w:pPr>
    <w:r w:rsidRPr="00AF39C9">
      <w:rPr>
        <w:color w:val="595959"/>
        <w:sz w:val="16"/>
        <w:szCs w:val="16"/>
      </w:rPr>
      <w:t>Revista Saúde (Santa Maria) 2026 Ed. Especial ANAIS 19º ENDOSUL</w:t>
    </w:r>
    <w:r w:rsidRPr="00AF39C9">
      <w:rPr>
        <w:sz w:val="16"/>
        <w:szCs w:val="16"/>
      </w:rPr>
      <w:tab/>
    </w:r>
    <w:r w:rsidRPr="00AF39C9">
      <w:rPr>
        <w:color w:val="595959"/>
        <w:sz w:val="16"/>
        <w:szCs w:val="16"/>
      </w:rPr>
      <w:fldChar w:fldCharType="begin"/>
    </w:r>
    <w:r w:rsidRPr="00AF39C9">
      <w:rPr>
        <w:color w:val="595959"/>
        <w:sz w:val="16"/>
        <w:szCs w:val="16"/>
      </w:rPr>
      <w:instrText>PAGE</w:instrText>
    </w:r>
    <w:r w:rsidRPr="00AF39C9">
      <w:rPr>
        <w:color w:val="595959"/>
        <w:sz w:val="16"/>
        <w:szCs w:val="16"/>
      </w:rPr>
      <w:fldChar w:fldCharType="separate"/>
    </w:r>
    <w:r w:rsidRPr="00AF39C9">
      <w:rPr>
        <w:color w:val="595959"/>
        <w:sz w:val="16"/>
        <w:szCs w:val="16"/>
      </w:rPr>
      <w:t>43</w:t>
    </w:r>
    <w:r w:rsidRPr="00AF39C9">
      <w:rPr>
        <w:color w:val="595959"/>
        <w:sz w:val="16"/>
        <w:szCs w:val="16"/>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44</w:t>
    </w:r>
    <w:r>
      <w:rPr>
        <w:color w:val="595959"/>
        <w:sz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45</w:t>
    </w:r>
    <w:r>
      <w:rPr>
        <w:color w:val="595959"/>
        <w:sz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46</w:t>
    </w:r>
    <w:r>
      <w:rPr>
        <w:color w:val="595959"/>
        <w:sz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47</w:t>
    </w:r>
    <w:r>
      <w:rPr>
        <w:color w:val="595959"/>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48</w:t>
    </w:r>
    <w:r>
      <w:rPr>
        <w:color w:val="595959"/>
        <w:sz w:val="18"/>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49</w:t>
    </w:r>
    <w:r>
      <w:rPr>
        <w:color w:val="595959"/>
        <w:sz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50</w:t>
    </w:r>
    <w:r>
      <w:rPr>
        <w:color w:val="595959"/>
        <w:sz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51</w:t>
    </w:r>
    <w:r>
      <w:rPr>
        <w:color w:val="595959"/>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A1377" w:rsidRDefault="00CD5EEE">
    <w:pPr>
      <w:tabs>
        <w:tab w:val="right" w:pos="9071"/>
      </w:tabs>
      <w:rPr>
        <w:sz w:val="16"/>
        <w:szCs w:val="16"/>
      </w:rPr>
    </w:pPr>
    <w:r w:rsidRPr="00FA1377">
      <w:rPr>
        <w:color w:val="595959"/>
        <w:sz w:val="16"/>
        <w:szCs w:val="16"/>
      </w:rPr>
      <w:t>Revista Saúde (Santa Maria) 2026 Ed. Especial ANAIS 19º ENDOSUL</w:t>
    </w:r>
    <w:r w:rsidRPr="00FA1377">
      <w:rPr>
        <w:sz w:val="16"/>
        <w:szCs w:val="16"/>
      </w:rPr>
      <w:tab/>
    </w:r>
    <w:r w:rsidRPr="00FA1377">
      <w:rPr>
        <w:color w:val="595959"/>
        <w:sz w:val="16"/>
        <w:szCs w:val="16"/>
      </w:rPr>
      <w:fldChar w:fldCharType="begin"/>
    </w:r>
    <w:r w:rsidRPr="00FA1377">
      <w:rPr>
        <w:color w:val="595959"/>
        <w:sz w:val="16"/>
        <w:szCs w:val="16"/>
      </w:rPr>
      <w:instrText>PAGE</w:instrText>
    </w:r>
    <w:r w:rsidRPr="00FA1377">
      <w:rPr>
        <w:color w:val="595959"/>
        <w:sz w:val="16"/>
        <w:szCs w:val="16"/>
      </w:rPr>
      <w:fldChar w:fldCharType="separate"/>
    </w:r>
    <w:r w:rsidRPr="00FA1377">
      <w:rPr>
        <w:color w:val="595959"/>
        <w:sz w:val="16"/>
        <w:szCs w:val="16"/>
      </w:rPr>
      <w:t>16</w:t>
    </w:r>
    <w:r w:rsidRPr="00FA1377">
      <w:rPr>
        <w:color w:val="595959"/>
        <w:sz w:val="16"/>
        <w:szCs w:val="16"/>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52</w:t>
    </w:r>
    <w:r>
      <w:rPr>
        <w:color w:val="595959"/>
        <w:sz w:val="18"/>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53</w:t>
    </w:r>
    <w:r>
      <w:rPr>
        <w:color w:val="595959"/>
        <w:sz w:val="18"/>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54</w:t>
    </w:r>
    <w:r>
      <w:rPr>
        <w:color w:val="595959"/>
        <w:sz w:val="18"/>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55</w:t>
    </w:r>
    <w:r>
      <w:rPr>
        <w:color w:val="595959"/>
        <w:sz w:val="18"/>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56</w:t>
    </w:r>
    <w:r>
      <w:rPr>
        <w:color w:val="595959"/>
        <w:sz w:val="18"/>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tabs>
        <w:tab w:val="right" w:pos="9071"/>
      </w:tabs>
      <w:rPr>
        <w:sz w:val="16"/>
        <w:szCs w:val="16"/>
      </w:rPr>
    </w:pPr>
    <w:r w:rsidRPr="00181E05">
      <w:rPr>
        <w:color w:val="595959"/>
        <w:sz w:val="16"/>
        <w:szCs w:val="16"/>
      </w:rPr>
      <w:t>Revista Saúde (Santa Maria) 2026 Ed. Especial ANAIS 19º ENDOSUL</w:t>
    </w:r>
    <w:r w:rsidRPr="00181E05">
      <w:rPr>
        <w:sz w:val="16"/>
        <w:szCs w:val="16"/>
      </w:rPr>
      <w:tab/>
    </w:r>
    <w:r w:rsidRPr="00181E05">
      <w:rPr>
        <w:color w:val="595959"/>
        <w:sz w:val="16"/>
        <w:szCs w:val="16"/>
      </w:rPr>
      <w:fldChar w:fldCharType="begin"/>
    </w:r>
    <w:r w:rsidRPr="00181E05">
      <w:rPr>
        <w:color w:val="595959"/>
        <w:sz w:val="16"/>
        <w:szCs w:val="16"/>
      </w:rPr>
      <w:instrText>PAGE</w:instrText>
    </w:r>
    <w:r w:rsidRPr="00181E05">
      <w:rPr>
        <w:color w:val="595959"/>
        <w:sz w:val="16"/>
        <w:szCs w:val="16"/>
      </w:rPr>
      <w:fldChar w:fldCharType="separate"/>
    </w:r>
    <w:r w:rsidRPr="00181E05">
      <w:rPr>
        <w:color w:val="595959"/>
        <w:sz w:val="16"/>
        <w:szCs w:val="16"/>
      </w:rPr>
      <w:t>57</w:t>
    </w:r>
    <w:r w:rsidRPr="00181E05">
      <w:rPr>
        <w:color w:val="595959"/>
        <w:sz w:val="16"/>
        <w:szCs w:val="16"/>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58</w:t>
    </w:r>
    <w:r>
      <w:rPr>
        <w:color w:val="595959"/>
        <w:sz w:val="18"/>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59</w:t>
    </w:r>
    <w:r>
      <w:rPr>
        <w:color w:val="595959"/>
        <w:sz w:val="18"/>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60</w:t>
    </w:r>
    <w:r>
      <w:rPr>
        <w:color w:val="595959"/>
        <w:sz w:val="18"/>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61</w:t>
    </w:r>
    <w:r>
      <w:rPr>
        <w:color w:val="595959"/>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17</w:t>
    </w:r>
    <w:r>
      <w:rPr>
        <w:color w:val="595959"/>
        <w:sz w:val="18"/>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62</w:t>
    </w:r>
    <w:r>
      <w:rPr>
        <w:color w:val="595959"/>
        <w:sz w:val="18"/>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63</w:t>
    </w:r>
    <w:r>
      <w:rPr>
        <w:color w:val="595959"/>
        <w:sz w:val="18"/>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64</w:t>
    </w:r>
    <w:r>
      <w:rPr>
        <w:color w:val="595959"/>
        <w:sz w:val="18"/>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65</w:t>
    </w:r>
    <w:r>
      <w:rPr>
        <w:color w:val="595959"/>
        <w:sz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66</w:t>
    </w:r>
    <w:r>
      <w:rPr>
        <w:color w:val="595959"/>
        <w:sz w:val="18"/>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67</w:t>
    </w:r>
    <w:r>
      <w:rPr>
        <w:color w:val="595959"/>
        <w:sz w:val="18"/>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68</w:t>
    </w:r>
    <w:r>
      <w:rPr>
        <w:color w:val="595959"/>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69</w:t>
    </w:r>
    <w:r>
      <w:rPr>
        <w:color w:val="595959"/>
        <w:sz w:val="18"/>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70</w:t>
    </w:r>
    <w:r>
      <w:rPr>
        <w:color w:val="595959"/>
        <w:sz w:val="18"/>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71</w:t>
    </w:r>
    <w:r>
      <w:rPr>
        <w:color w:val="595959"/>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18</w:t>
    </w:r>
    <w:r>
      <w:rPr>
        <w:color w:val="595959"/>
        <w:sz w:val="18"/>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72</w:t>
    </w:r>
    <w:r>
      <w:rPr>
        <w:color w:val="595959"/>
        <w:sz w:val="18"/>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73</w:t>
    </w:r>
    <w:r>
      <w:rPr>
        <w:color w:val="595959"/>
        <w:sz w:val="18"/>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74</w:t>
    </w:r>
    <w:r>
      <w:rPr>
        <w:color w:val="595959"/>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75</w:t>
    </w:r>
    <w:r>
      <w:rPr>
        <w:color w:val="595959"/>
        <w:sz w:val="18"/>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76</w:t>
    </w:r>
    <w:r>
      <w:rPr>
        <w:color w:val="595959"/>
        <w:sz w:val="18"/>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77</w:t>
    </w:r>
    <w:r>
      <w:rPr>
        <w:color w:val="595959"/>
        <w:sz w:val="18"/>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78</w:t>
    </w:r>
    <w:r>
      <w:rPr>
        <w:color w:val="595959"/>
        <w:sz w:val="18"/>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79</w:t>
    </w:r>
    <w:r>
      <w:rPr>
        <w:color w:val="595959"/>
        <w:sz w:val="18"/>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80</w:t>
    </w:r>
    <w:r>
      <w:rPr>
        <w:color w:val="595959"/>
        <w:sz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81</w:t>
    </w:r>
    <w:r>
      <w:rPr>
        <w:color w:val="595959"/>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tabs>
        <w:tab w:val="right" w:pos="9071"/>
      </w:tabs>
      <w:rPr>
        <w:sz w:val="16"/>
        <w:szCs w:val="16"/>
      </w:rPr>
    </w:pPr>
    <w:r w:rsidRPr="003D109D">
      <w:rPr>
        <w:color w:val="595959"/>
        <w:sz w:val="16"/>
        <w:szCs w:val="16"/>
      </w:rPr>
      <w:t>Revista Saúde (Santa Maria) 2026 Ed. Especial ANAIS 19º ENDOSUL</w:t>
    </w:r>
    <w:r w:rsidRPr="003D109D">
      <w:rPr>
        <w:sz w:val="16"/>
        <w:szCs w:val="16"/>
      </w:rPr>
      <w:tab/>
    </w:r>
    <w:r w:rsidRPr="003D109D">
      <w:rPr>
        <w:color w:val="595959"/>
        <w:sz w:val="16"/>
        <w:szCs w:val="16"/>
      </w:rPr>
      <w:fldChar w:fldCharType="begin"/>
    </w:r>
    <w:r w:rsidRPr="003D109D">
      <w:rPr>
        <w:color w:val="595959"/>
        <w:sz w:val="16"/>
        <w:szCs w:val="16"/>
      </w:rPr>
      <w:instrText>PAGE</w:instrText>
    </w:r>
    <w:r w:rsidRPr="003D109D">
      <w:rPr>
        <w:color w:val="595959"/>
        <w:sz w:val="16"/>
        <w:szCs w:val="16"/>
      </w:rPr>
      <w:fldChar w:fldCharType="separate"/>
    </w:r>
    <w:r w:rsidRPr="003D109D">
      <w:rPr>
        <w:color w:val="595959"/>
        <w:sz w:val="16"/>
        <w:szCs w:val="16"/>
      </w:rPr>
      <w:t>19</w:t>
    </w:r>
    <w:r w:rsidRPr="003D109D">
      <w:rPr>
        <w:color w:val="595959"/>
        <w:sz w:val="16"/>
        <w:szCs w:val="16"/>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82</w:t>
    </w:r>
    <w:r>
      <w:rPr>
        <w:color w:val="595959"/>
        <w:sz w:val="18"/>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83</w:t>
    </w:r>
    <w:r>
      <w:rPr>
        <w:color w:val="595959"/>
        <w:sz w:val="18"/>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84</w:t>
    </w:r>
    <w:r>
      <w:rPr>
        <w:color w:val="595959"/>
        <w:sz w:val="18"/>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85</w:t>
    </w:r>
    <w:r>
      <w:rPr>
        <w:color w:val="595959"/>
        <w:sz w:val="18"/>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86</w:t>
    </w:r>
    <w:r>
      <w:rPr>
        <w:color w:val="595959"/>
        <w:sz w:val="18"/>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87</w:t>
    </w:r>
    <w:r>
      <w:rPr>
        <w:color w:val="595959"/>
        <w:sz w:val="18"/>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88</w:t>
    </w:r>
    <w:r>
      <w:rPr>
        <w:color w:val="595959"/>
        <w:sz w:val="18"/>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89</w:t>
    </w:r>
    <w:r>
      <w:rPr>
        <w:color w:val="595959"/>
        <w:sz w:val="18"/>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90</w:t>
    </w:r>
    <w:r>
      <w:rPr>
        <w:color w:val="595959"/>
        <w:sz w:val="18"/>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91</w:t>
    </w:r>
    <w:r>
      <w:rPr>
        <w:color w:val="595959"/>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20</w:t>
    </w:r>
    <w:r>
      <w:rPr>
        <w:color w:val="595959"/>
        <w:sz w:val="18"/>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92</w:t>
    </w:r>
    <w:r>
      <w:rPr>
        <w:color w:val="595959"/>
        <w:sz w:val="18"/>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93</w:t>
    </w:r>
    <w:r>
      <w:rPr>
        <w:color w:val="595959"/>
        <w:sz w:val="18"/>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94</w:t>
    </w:r>
    <w:r>
      <w:rPr>
        <w:color w:val="595959"/>
        <w:sz w:val="18"/>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95</w:t>
    </w:r>
    <w:r>
      <w:rPr>
        <w:color w:val="595959"/>
        <w:sz w:val="18"/>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96</w:t>
    </w:r>
    <w:r>
      <w:rPr>
        <w:color w:val="595959"/>
        <w:sz w:val="18"/>
      </w:rP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97</w:t>
    </w:r>
    <w:r>
      <w:rPr>
        <w:color w:val="595959"/>
        <w:sz w:val="18"/>
      </w:rPr>
      <w:fldChar w:fldCharType="end"/>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98</w:t>
    </w:r>
    <w:r>
      <w:rPr>
        <w:color w:val="595959"/>
        <w:sz w:val="18"/>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99</w:t>
    </w:r>
    <w:r>
      <w:rPr>
        <w:color w:val="595959"/>
        <w:sz w:val="18"/>
      </w:rP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100</w:t>
    </w:r>
    <w:r>
      <w:rPr>
        <w:color w:val="595959"/>
        <w:sz w:val="18"/>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101</w:t>
    </w:r>
    <w:r>
      <w:rPr>
        <w:color w:val="595959"/>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tabs>
        <w:tab w:val="right" w:pos="9071"/>
      </w:tabs>
      <w:rPr>
        <w:sz w:val="16"/>
        <w:szCs w:val="16"/>
      </w:rPr>
    </w:pPr>
    <w:r w:rsidRPr="003D109D">
      <w:rPr>
        <w:color w:val="595959"/>
        <w:sz w:val="16"/>
        <w:szCs w:val="16"/>
      </w:rPr>
      <w:t>Revista Saúde (Santa Maria) 2026 Ed. Especial ANAIS 19º ENDOSUL</w:t>
    </w:r>
    <w:r w:rsidRPr="003D109D">
      <w:rPr>
        <w:sz w:val="16"/>
        <w:szCs w:val="16"/>
      </w:rPr>
      <w:tab/>
    </w:r>
    <w:r w:rsidRPr="003D109D">
      <w:rPr>
        <w:color w:val="595959"/>
        <w:sz w:val="16"/>
        <w:szCs w:val="16"/>
      </w:rPr>
      <w:fldChar w:fldCharType="begin"/>
    </w:r>
    <w:r w:rsidRPr="003D109D">
      <w:rPr>
        <w:color w:val="595959"/>
        <w:sz w:val="16"/>
        <w:szCs w:val="16"/>
      </w:rPr>
      <w:instrText>PAGE</w:instrText>
    </w:r>
    <w:r w:rsidRPr="003D109D">
      <w:rPr>
        <w:color w:val="595959"/>
        <w:sz w:val="16"/>
        <w:szCs w:val="16"/>
      </w:rPr>
      <w:fldChar w:fldCharType="separate"/>
    </w:r>
    <w:r w:rsidRPr="003D109D">
      <w:rPr>
        <w:color w:val="595959"/>
        <w:sz w:val="16"/>
        <w:szCs w:val="16"/>
      </w:rPr>
      <w:t>21</w:t>
    </w:r>
    <w:r w:rsidRPr="003D109D">
      <w:rPr>
        <w:color w:val="595959"/>
        <w:sz w:val="16"/>
        <w:szCs w:val="16"/>
      </w:rPr>
      <w:fldChar w:fldCharType="end"/>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102</w:t>
    </w:r>
    <w:r>
      <w:rPr>
        <w:color w:val="595959"/>
        <w:sz w:val="18"/>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103</w:t>
    </w:r>
    <w:r>
      <w:rPr>
        <w:color w:val="595959"/>
        <w:sz w:val="18"/>
      </w:rPr>
      <w:fldChar w:fldCharType="end"/>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104</w:t>
    </w:r>
    <w:r>
      <w:rPr>
        <w:color w:val="595959"/>
        <w:sz w:val="18"/>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105</w:t>
    </w:r>
    <w:r>
      <w:rPr>
        <w:color w:val="595959"/>
        <w:sz w:val="18"/>
      </w:rPr>
      <w:fldChar w:fldCharType="end"/>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106</w:t>
    </w:r>
    <w:r>
      <w:rPr>
        <w:color w:val="595959"/>
        <w:sz w:val="18"/>
      </w:rPr>
      <w:fldChar w:fldCharType="end"/>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107</w:t>
    </w:r>
    <w:r>
      <w:rPr>
        <w:color w:val="595959"/>
        <w:sz w:val="18"/>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108</w:t>
    </w:r>
    <w:r>
      <w:rPr>
        <w:color w:val="595959"/>
        <w:sz w:val="18"/>
      </w:rP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109</w:t>
    </w:r>
    <w:r>
      <w:rPr>
        <w:color w:val="595959"/>
        <w:sz w:val="18"/>
      </w:rPr>
      <w:fldChar w:fldCharType="end"/>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110</w:t>
    </w:r>
    <w:r>
      <w:rPr>
        <w:color w:val="595959"/>
        <w:sz w:val="18"/>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tabs>
        <w:tab w:val="right" w:pos="9071"/>
      </w:tabs>
    </w:pPr>
    <w:r>
      <w:rPr>
        <w:color w:val="595959"/>
        <w:sz w:val="16"/>
      </w:rPr>
      <w:t>Revista Saúde (Santa Maria) 2026 Ed. Especial ANAIS 19º ENDOSUL</w:t>
    </w:r>
    <w:r>
      <w:tab/>
    </w:r>
    <w:r>
      <w:rPr>
        <w:color w:val="595959"/>
        <w:sz w:val="18"/>
      </w:rPr>
      <w:fldChar w:fldCharType="begin"/>
    </w:r>
    <w:r>
      <w:rPr>
        <w:color w:val="595959"/>
        <w:sz w:val="18"/>
      </w:rPr>
      <w:instrText>PAGE</w:instrText>
    </w:r>
    <w:r>
      <w:rPr>
        <w:color w:val="595959"/>
        <w:sz w:val="18"/>
      </w:rPr>
      <w:fldChar w:fldCharType="separate"/>
    </w:r>
    <w:r>
      <w:rPr>
        <w:color w:val="595959"/>
        <w:sz w:val="18"/>
      </w:rPr>
      <w:t>111</w:t>
    </w:r>
    <w:r>
      <w:rPr>
        <w:color w:val="595959"/>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EEE" w:rsidRDefault="00CD5EEE">
      <w:pPr>
        <w:spacing w:after="0" w:line="240" w:lineRule="auto"/>
      </w:pPr>
      <w:r>
        <w:separator/>
      </w:r>
    </w:p>
  </w:footnote>
  <w:footnote w:type="continuationSeparator" w:id="0">
    <w:p w:rsidR="00CD5EEE" w:rsidRDefault="00CD5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ED6779" w:rsidRDefault="00CD5EEE">
    <w:pPr>
      <w:spacing w:after="20"/>
      <w:rPr>
        <w:sz w:val="16"/>
        <w:szCs w:val="16"/>
      </w:rPr>
    </w:pPr>
    <w:r w:rsidRPr="00ED6779">
      <w:rPr>
        <w:color w:val="595959"/>
        <w:sz w:val="16"/>
        <w:szCs w:val="16"/>
      </w:rPr>
      <w:t>19º ENDOSUL</w:t>
    </w:r>
    <w:r>
      <w:rPr>
        <w:color w:val="595959"/>
        <w:sz w:val="16"/>
        <w:szCs w:val="16"/>
      </w:rPr>
      <w:t xml:space="preserve"> </w:t>
    </w:r>
    <w:r w:rsidRPr="00ED6779">
      <w:rPr>
        <w:color w:val="595959"/>
        <w:sz w:val="16"/>
        <w:szCs w:val="16"/>
      </w:rPr>
      <w:t>|</w:t>
    </w:r>
    <w:r>
      <w:rPr>
        <w:color w:val="595959"/>
        <w:sz w:val="16"/>
        <w:szCs w:val="16"/>
      </w:rPr>
      <w:t xml:space="preserve"> </w:t>
    </w:r>
    <w:r w:rsidRPr="00ED6779">
      <w:rPr>
        <w:color w:val="595959"/>
        <w:sz w:val="16"/>
        <w:szCs w:val="16"/>
      </w:rPr>
      <w:t>ADRENAL E HIPERTENSÃO</w:t>
    </w:r>
    <w:r>
      <w:rPr>
        <w:color w:val="595959"/>
        <w:sz w:val="16"/>
        <w:szCs w:val="16"/>
      </w:rPr>
      <w:t xml:space="preserve"> </w:t>
    </w:r>
    <w:r w:rsidRPr="00ED6779">
      <w:rPr>
        <w:color w:val="595959"/>
        <w:sz w:val="16"/>
        <w:szCs w:val="16"/>
      </w:rPr>
      <w:t>|</w:t>
    </w:r>
    <w:r>
      <w:rPr>
        <w:color w:val="595959"/>
        <w:sz w:val="16"/>
        <w:szCs w:val="16"/>
      </w:rPr>
      <w:t xml:space="preserve"> </w:t>
    </w:r>
    <w:r w:rsidRPr="00ED6779">
      <w:rPr>
        <w:color w:val="595959"/>
        <w:sz w:val="16"/>
        <w:szCs w:val="16"/>
      </w:rPr>
      <w:t>RELATO DE CASO</w:t>
    </w:r>
  </w:p>
  <w:p w:rsidR="00CD5EEE" w:rsidRDefault="00CD5EEE">
    <w:pPr>
      <w:pBdr>
        <w:bottom w:val="single" w:sz="6" w:space="2" w:color="B8962E"/>
      </w:pBdr>
      <w:spacing w:after="80"/>
    </w:pPr>
    <w:r>
      <w:rPr>
        <w:color w:val="B8962E"/>
        <w:sz w:val="16"/>
      </w:rPr>
      <w:t>07 a 09 de maio de 2026 | SBEM-RS – Porto Alegre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20"/>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20"/>
      </w:rPr>
    </w:pPr>
    <w:r w:rsidRPr="00546627">
      <w:rPr>
        <w:color w:val="595959"/>
        <w:sz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20"/>
      </w:rPr>
    </w:pPr>
    <w:r w:rsidRPr="00546627">
      <w:rPr>
        <w:color w:val="595959"/>
        <w:sz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20"/>
      </w:rPr>
    </w:pPr>
    <w:r w:rsidRPr="00546627">
      <w:rPr>
        <w:color w:val="595959"/>
        <w:sz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6"/>
        <w:szCs w:val="16"/>
      </w:rPr>
    </w:pPr>
    <w:r w:rsidRPr="003D109D">
      <w:rPr>
        <w:color w:val="595959"/>
        <w:sz w:val="16"/>
        <w:szCs w:val="16"/>
      </w:rPr>
      <w:t>19º ENDOSUL</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DIABETES MELLITUS</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spacing w:after="20"/>
    </w:pPr>
    <w:r>
      <w:rPr>
        <w:color w:val="595959"/>
        <w:sz w:val="18"/>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20"/>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16"/>
        <w:szCs w:val="16"/>
      </w:rPr>
    </w:pPr>
    <w:r w:rsidRPr="004D2F29">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D2F29" w:rsidRDefault="00CD5EEE">
    <w:pPr>
      <w:spacing w:after="20"/>
      <w:rPr>
        <w:sz w:val="20"/>
      </w:rPr>
    </w:pPr>
    <w:r w:rsidRPr="004D2F29">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6"/>
        <w:szCs w:val="16"/>
      </w:rPr>
    </w:pPr>
    <w:r w:rsidRPr="003D109D">
      <w:rPr>
        <w:color w:val="595959"/>
        <w:sz w:val="16"/>
        <w:szCs w:val="16"/>
      </w:rPr>
      <w:t>19º ENDOSUL</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DIABETES MELLITUS</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16"/>
        <w:szCs w:val="16"/>
      </w:rPr>
    </w:pPr>
    <w:r w:rsidRPr="00004A23">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TIREOIDE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16"/>
        <w:szCs w:val="16"/>
      </w:rPr>
    </w:pPr>
    <w:r w:rsidRPr="00004A23">
      <w:rPr>
        <w:color w:val="595959"/>
        <w:sz w:val="16"/>
        <w:szCs w:val="16"/>
      </w:rPr>
      <w:t>19º ENDOSUL | TIREOIDE | RESUMO</w:t>
    </w:r>
  </w:p>
  <w:p w:rsidR="00CD5EEE" w:rsidRDefault="00CD5EEE">
    <w:pPr>
      <w:pBdr>
        <w:bottom w:val="single" w:sz="6" w:space="2" w:color="B8962E"/>
      </w:pBdr>
      <w:spacing w:after="80"/>
    </w:pPr>
    <w:r>
      <w:rPr>
        <w:color w:val="B8962E"/>
        <w:sz w:val="16"/>
      </w:rPr>
      <w:t>07 a 09 de maio de 2026 | SBEM-RS – Porto Alegre</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16"/>
        <w:szCs w:val="16"/>
      </w:rPr>
    </w:pPr>
    <w:r w:rsidRPr="00004A23">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16"/>
        <w:szCs w:val="16"/>
      </w:rPr>
    </w:pPr>
    <w:r w:rsidRPr="00004A23">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20"/>
      </w:rPr>
    </w:pPr>
    <w:r w:rsidRPr="00004A23">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8"/>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04A23" w:rsidRDefault="00CD5EEE">
    <w:pPr>
      <w:spacing w:after="20"/>
      <w:rPr>
        <w:sz w:val="16"/>
        <w:szCs w:val="16"/>
      </w:rPr>
    </w:pPr>
    <w:r w:rsidRPr="00004A23">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16"/>
        <w:szCs w:val="16"/>
      </w:rPr>
    </w:pPr>
    <w:r w:rsidRPr="006F62EF">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16"/>
        <w:szCs w:val="16"/>
      </w:rPr>
    </w:pPr>
    <w:r w:rsidRPr="006F62EF">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16"/>
        <w:szCs w:val="16"/>
      </w:rPr>
    </w:pPr>
    <w:r w:rsidRPr="006F62EF">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20"/>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16"/>
        <w:szCs w:val="16"/>
      </w:rPr>
    </w:pPr>
    <w:r w:rsidRPr="006F62EF">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F62EF" w:rsidRDefault="00CD5EEE">
    <w:pPr>
      <w:spacing w:after="20"/>
      <w:rPr>
        <w:sz w:val="20"/>
      </w:rPr>
    </w:pPr>
    <w:r w:rsidRPr="006F62EF">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20"/>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RELATO DE CASO</w:t>
    </w:r>
  </w:p>
  <w:p w:rsidR="00CD5EEE" w:rsidRDefault="00CD5EEE">
    <w:pPr>
      <w:pBdr>
        <w:bottom w:val="single" w:sz="6" w:space="2" w:color="B8962E"/>
      </w:pBdr>
      <w:spacing w:after="80"/>
    </w:pPr>
    <w:r>
      <w:rPr>
        <w:color w:val="B8962E"/>
        <w:sz w:val="16"/>
      </w:rPr>
      <w:t>07 a 09 de maio de 2026 | SBEM-RS – Porto Alegre</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RELATO DE CASO</w:t>
    </w:r>
  </w:p>
  <w:p w:rsidR="00CD5EEE" w:rsidRDefault="00CD5EEE">
    <w:pPr>
      <w:pBdr>
        <w:bottom w:val="single" w:sz="6" w:space="2" w:color="B8962E"/>
      </w:pBdr>
      <w:spacing w:after="80"/>
    </w:pPr>
    <w:r>
      <w:rPr>
        <w:color w:val="B8962E"/>
        <w:sz w:val="16"/>
      </w:rPr>
      <w:t>07 a 09 de maio de 2026 | SBEM-RS – Porto Alegre</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16"/>
        <w:szCs w:val="16"/>
      </w:rPr>
    </w:pPr>
    <w:r w:rsidRPr="00CD5EEE">
      <w:rPr>
        <w:color w:val="595959"/>
        <w:sz w:val="16"/>
        <w:szCs w:val="16"/>
      </w:rPr>
      <w:t>19º ENDOSUL | OBESIDADE | RESUMO</w:t>
    </w:r>
  </w:p>
  <w:p w:rsidR="00CD5EEE" w:rsidRDefault="00CD5EEE">
    <w:pPr>
      <w:pBdr>
        <w:bottom w:val="single" w:sz="6" w:space="2" w:color="B8962E"/>
      </w:pBdr>
      <w:spacing w:after="80"/>
    </w:pPr>
    <w:r>
      <w:rPr>
        <w:color w:val="B8962E"/>
        <w:sz w:val="16"/>
      </w:rPr>
      <w:t>07 a 09 de maio de 2026 | SBEM-RS – Porto Alegre</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16"/>
        <w:szCs w:val="16"/>
      </w:rPr>
    </w:pPr>
    <w:r w:rsidRPr="00CD5EEE">
      <w:rPr>
        <w:color w:val="595959"/>
        <w:sz w:val="16"/>
        <w:szCs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16"/>
        <w:szCs w:val="16"/>
      </w:rPr>
    </w:pPr>
    <w:r w:rsidRPr="00CD5EEE">
      <w:rPr>
        <w:color w:val="595959"/>
        <w:sz w:val="16"/>
        <w:szCs w:val="16"/>
      </w:rPr>
      <w:t>19º ENDOSUL | OUTROS | RELATO DE CASO</w:t>
    </w:r>
  </w:p>
  <w:p w:rsidR="00CD5EEE" w:rsidRDefault="00CD5EEE">
    <w:pPr>
      <w:pBdr>
        <w:bottom w:val="single" w:sz="6" w:space="2" w:color="B8962E"/>
      </w:pBdr>
      <w:spacing w:after="80"/>
    </w:pPr>
    <w:r>
      <w:rPr>
        <w:color w:val="B8962E"/>
        <w:sz w:val="16"/>
      </w:rPr>
      <w:t>07 a 09 de maio de 2026 | SBEM-RS – Porto Alegre</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D5EEE" w:rsidRDefault="00CD5EEE">
    <w:pPr>
      <w:spacing w:after="20"/>
      <w:rPr>
        <w:sz w:val="20"/>
      </w:rPr>
    </w:pPr>
    <w:r w:rsidRPr="00CD5EEE">
      <w:rPr>
        <w:color w:val="595959"/>
        <w:sz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8"/>
      </w:rPr>
    </w:pPr>
    <w:r w:rsidRPr="003D109D">
      <w:rPr>
        <w:color w:val="595959"/>
        <w:sz w:val="16"/>
      </w:rPr>
      <w:t>19º ENDOSUL</w:t>
    </w:r>
    <w:r>
      <w:rPr>
        <w:color w:val="595959"/>
        <w:sz w:val="16"/>
      </w:rPr>
      <w:t xml:space="preserve"> </w:t>
    </w:r>
    <w:r w:rsidRPr="003D109D">
      <w:rPr>
        <w:color w:val="595959"/>
        <w:sz w:val="16"/>
      </w:rPr>
      <w:t>|</w:t>
    </w:r>
    <w:r>
      <w:rPr>
        <w:color w:val="595959"/>
        <w:sz w:val="16"/>
      </w:rPr>
      <w:t xml:space="preserve"> </w:t>
    </w:r>
    <w:r w:rsidRPr="003D109D">
      <w:rPr>
        <w:color w:val="595959"/>
        <w:sz w:val="16"/>
      </w:rPr>
      <w:t>DIABETES MELLITUS</w:t>
    </w:r>
    <w:r>
      <w:rPr>
        <w:color w:val="595959"/>
        <w:sz w:val="16"/>
      </w:rPr>
      <w:t xml:space="preserve"> </w:t>
    </w:r>
    <w:r w:rsidRPr="003D109D">
      <w:rPr>
        <w:color w:val="595959"/>
        <w:sz w:val="16"/>
      </w:rPr>
      <w:t>|</w:t>
    </w:r>
    <w:r>
      <w:rPr>
        <w:color w:val="595959"/>
        <w:sz w:val="16"/>
      </w:rPr>
      <w:t xml:space="preserve"> </w:t>
    </w:r>
    <w:r w:rsidRPr="003D109D">
      <w:rPr>
        <w:color w:val="595959"/>
        <w:sz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RELATO DE CASO</w:t>
    </w:r>
  </w:p>
  <w:p w:rsidR="00CD5EEE" w:rsidRDefault="00CD5EEE">
    <w:pPr>
      <w:pBdr>
        <w:bottom w:val="single" w:sz="6" w:space="2" w:color="B8962E"/>
      </w:pBdr>
      <w:spacing w:after="80"/>
    </w:pPr>
    <w:r>
      <w:rPr>
        <w:color w:val="B8962E"/>
        <w:sz w:val="16"/>
      </w:rPr>
      <w:t>07 a 09 de maio de 2026 | SBEM-RS – Porto Alegre</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RELATO DE CASO</w:t>
    </w:r>
  </w:p>
  <w:p w:rsidR="00CD5EEE" w:rsidRDefault="00CD5EEE">
    <w:pPr>
      <w:pBdr>
        <w:bottom w:val="single" w:sz="6" w:space="2" w:color="B8962E"/>
      </w:pBdr>
      <w:spacing w:after="80"/>
    </w:pPr>
    <w:r>
      <w:rPr>
        <w:color w:val="B8962E"/>
        <w:sz w:val="16"/>
      </w:rPr>
      <w:t>07 a 09 de maio de 2026 | SBEM-RS – Porto Alegre</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RELATO DE CASO</w:t>
    </w:r>
  </w:p>
  <w:p w:rsidR="00CD5EEE" w:rsidRDefault="00CD5EEE">
    <w:pPr>
      <w:pBdr>
        <w:bottom w:val="single" w:sz="6" w:space="2" w:color="B8962E"/>
      </w:pBdr>
      <w:spacing w:after="80"/>
    </w:pPr>
    <w:r>
      <w:rPr>
        <w:color w:val="B8962E"/>
        <w:sz w:val="16"/>
      </w:rPr>
      <w:t>07 a 09 de maio de 2026 | SBEM-RS – Porto Alegre</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D5001" w:rsidRDefault="00CD5EEE">
    <w:pPr>
      <w:spacing w:after="20"/>
      <w:rPr>
        <w:sz w:val="20"/>
      </w:rPr>
    </w:pPr>
    <w:r w:rsidRPr="000D5001">
      <w:rPr>
        <w:color w:val="595959"/>
        <w:sz w:val="16"/>
      </w:rPr>
      <w:t>19º ENDOSUL | OUTROS | RESUMO</w:t>
    </w:r>
  </w:p>
  <w:p w:rsidR="00CD5EEE" w:rsidRDefault="00CD5EEE">
    <w:pPr>
      <w:pBdr>
        <w:bottom w:val="single" w:sz="6" w:space="2" w:color="B8962E"/>
      </w:pBdr>
      <w:spacing w:after="80"/>
    </w:pPr>
    <w:r>
      <w:rPr>
        <w:color w:val="B8962E"/>
        <w:sz w:val="16"/>
      </w:rPr>
      <w:t>07 a 09 de maio de 2026 | SBEM-RS – Porto Alegre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6"/>
        <w:szCs w:val="16"/>
      </w:rPr>
    </w:pPr>
    <w:r w:rsidRPr="003D109D">
      <w:rPr>
        <w:color w:val="595959"/>
        <w:sz w:val="16"/>
        <w:szCs w:val="16"/>
      </w:rPr>
      <w:t>19º ENDOSUL</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DIABETES MELLITUS</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14276" w:rsidRDefault="00CD5EEE">
    <w:pPr>
      <w:spacing w:after="20"/>
      <w:rPr>
        <w:sz w:val="16"/>
        <w:szCs w:val="16"/>
      </w:rPr>
    </w:pPr>
    <w:r w:rsidRPr="00614276">
      <w:rPr>
        <w:color w:val="595959"/>
        <w:sz w:val="16"/>
        <w:szCs w:val="16"/>
      </w:rPr>
      <w:t>19º ENDOSUL</w:t>
    </w:r>
    <w:r>
      <w:rPr>
        <w:color w:val="595959"/>
        <w:sz w:val="16"/>
        <w:szCs w:val="16"/>
      </w:rPr>
      <w:t xml:space="preserve"> </w:t>
    </w:r>
    <w:r w:rsidRPr="00614276">
      <w:rPr>
        <w:color w:val="595959"/>
        <w:sz w:val="16"/>
        <w:szCs w:val="16"/>
      </w:rPr>
      <w:t>|</w:t>
    </w:r>
    <w:r>
      <w:rPr>
        <w:color w:val="595959"/>
        <w:sz w:val="16"/>
        <w:szCs w:val="16"/>
      </w:rPr>
      <w:t xml:space="preserve"> </w:t>
    </w:r>
    <w:r w:rsidRPr="00614276">
      <w:rPr>
        <w:color w:val="595959"/>
        <w:sz w:val="16"/>
        <w:szCs w:val="16"/>
      </w:rPr>
      <w:t>DIABETES MELLITUS</w:t>
    </w:r>
    <w:r>
      <w:rPr>
        <w:color w:val="595959"/>
        <w:sz w:val="16"/>
        <w:szCs w:val="16"/>
      </w:rPr>
      <w:t xml:space="preserve"> </w:t>
    </w:r>
    <w:r w:rsidRPr="00614276">
      <w:rPr>
        <w:color w:val="595959"/>
        <w:sz w:val="16"/>
        <w:szCs w:val="16"/>
      </w:rPr>
      <w:t>|</w:t>
    </w:r>
    <w:r>
      <w:rPr>
        <w:color w:val="595959"/>
        <w:sz w:val="16"/>
        <w:szCs w:val="16"/>
      </w:rPr>
      <w:t xml:space="preserve"> </w:t>
    </w:r>
    <w:r w:rsidRPr="00614276">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spacing w:after="20"/>
    </w:pPr>
    <w:r>
      <w:rPr>
        <w:color w:val="595959"/>
        <w:sz w:val="18"/>
      </w:rPr>
      <w:t>19º ENDOSUL | ADRENAL E HIPERTENSÃO | RELATO DE CASO</w:t>
    </w:r>
  </w:p>
  <w:p w:rsidR="00CD5EEE" w:rsidRDefault="00CD5EEE">
    <w:pPr>
      <w:pBdr>
        <w:bottom w:val="single" w:sz="6" w:space="2" w:color="B8962E"/>
      </w:pBdr>
      <w:spacing w:after="80"/>
    </w:pPr>
    <w:r>
      <w:rPr>
        <w:color w:val="B8962E"/>
        <w:sz w:val="16"/>
      </w:rPr>
      <w:t>07 a 09 de maio de 2026 | SBEM-RS – Porto Alegre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14276" w:rsidRDefault="00CD5EEE">
    <w:pPr>
      <w:spacing w:after="20"/>
      <w:rPr>
        <w:sz w:val="16"/>
        <w:szCs w:val="16"/>
      </w:rPr>
    </w:pPr>
    <w:r w:rsidRPr="00614276">
      <w:rPr>
        <w:color w:val="595959"/>
        <w:sz w:val="16"/>
        <w:szCs w:val="16"/>
      </w:rPr>
      <w:t>19º ENDOSUL</w:t>
    </w:r>
    <w:r>
      <w:rPr>
        <w:color w:val="595959"/>
        <w:sz w:val="16"/>
        <w:szCs w:val="16"/>
      </w:rPr>
      <w:t xml:space="preserve"> </w:t>
    </w:r>
    <w:r w:rsidRPr="00614276">
      <w:rPr>
        <w:color w:val="595959"/>
        <w:sz w:val="16"/>
        <w:szCs w:val="16"/>
      </w:rPr>
      <w:t>|</w:t>
    </w:r>
    <w:r>
      <w:rPr>
        <w:color w:val="595959"/>
        <w:sz w:val="16"/>
        <w:szCs w:val="16"/>
      </w:rPr>
      <w:t xml:space="preserve"> </w:t>
    </w:r>
    <w:r w:rsidRPr="00614276">
      <w:rPr>
        <w:color w:val="595959"/>
        <w:sz w:val="16"/>
        <w:szCs w:val="16"/>
      </w:rPr>
      <w:t>DIABETES MELLITUS</w:t>
    </w:r>
    <w:r>
      <w:rPr>
        <w:color w:val="595959"/>
        <w:sz w:val="16"/>
        <w:szCs w:val="16"/>
      </w:rPr>
      <w:t xml:space="preserve"> </w:t>
    </w:r>
    <w:r w:rsidRPr="00614276">
      <w:rPr>
        <w:color w:val="595959"/>
        <w:sz w:val="16"/>
        <w:szCs w:val="16"/>
      </w:rPr>
      <w:t>|</w:t>
    </w:r>
    <w:r>
      <w:rPr>
        <w:color w:val="595959"/>
        <w:sz w:val="16"/>
        <w:szCs w:val="16"/>
      </w:rPr>
      <w:t xml:space="preserve"> </w:t>
    </w:r>
    <w:r w:rsidRPr="00614276">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spacing w:after="20"/>
      <w:rPr>
        <w:sz w:val="16"/>
        <w:szCs w:val="16"/>
      </w:rPr>
    </w:pPr>
    <w:r w:rsidRPr="0064145B">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spacing w:after="20"/>
      <w:rPr>
        <w:sz w:val="16"/>
        <w:szCs w:val="16"/>
      </w:rPr>
    </w:pPr>
    <w:r w:rsidRPr="0064145B">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spacing w:after="20"/>
      <w:rPr>
        <w:sz w:val="16"/>
        <w:szCs w:val="16"/>
      </w:rPr>
    </w:pPr>
    <w:r w:rsidRPr="0064145B">
      <w:rPr>
        <w:color w:val="595959"/>
        <w:sz w:val="16"/>
        <w:szCs w:val="16"/>
      </w:rPr>
      <w:t>19º ENDOSUL | DIABETES MELLITUS | RELATO DE CASO</w:t>
    </w:r>
  </w:p>
  <w:p w:rsidR="00CD5EEE" w:rsidRDefault="00CD5EEE">
    <w:pPr>
      <w:pBdr>
        <w:bottom w:val="single" w:sz="6" w:space="2" w:color="B8962E"/>
      </w:pBdr>
      <w:spacing w:after="80"/>
    </w:pPr>
    <w:r>
      <w:rPr>
        <w:color w:val="B8962E"/>
        <w:sz w:val="16"/>
      </w:rPr>
      <w:t>07 a 09 de maio de 2026 | SBEM-RS – Porto Alegre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spacing w:after="20"/>
      <w:rPr>
        <w:sz w:val="16"/>
        <w:szCs w:val="16"/>
      </w:rPr>
    </w:pPr>
    <w:r w:rsidRPr="0064145B">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4145B" w:rsidRDefault="00CD5EEE">
    <w:pPr>
      <w:spacing w:after="20"/>
      <w:rPr>
        <w:sz w:val="16"/>
        <w:szCs w:val="16"/>
      </w:rPr>
    </w:pPr>
    <w:r w:rsidRPr="0064145B">
      <w:rPr>
        <w:color w:val="595959"/>
        <w:sz w:val="16"/>
        <w:szCs w:val="16"/>
      </w:rPr>
      <w:t>19º ENDOSUL | DIABETES MELLITUS | RELATO DE CASO</w:t>
    </w:r>
  </w:p>
  <w:p w:rsidR="00CD5EEE" w:rsidRDefault="00CD5EEE">
    <w:pPr>
      <w:pBdr>
        <w:bottom w:val="single" w:sz="6" w:space="2" w:color="B8962E"/>
      </w:pBdr>
      <w:spacing w:after="80"/>
    </w:pPr>
    <w:r>
      <w:rPr>
        <w:color w:val="B8962E"/>
        <w:sz w:val="16"/>
      </w:rPr>
      <w:t>07 a 09 de maio de 2026 | SBEM-RS – Porto Alegre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20DBA" w:rsidRDefault="00CD5EEE">
    <w:pPr>
      <w:spacing w:after="20"/>
      <w:rPr>
        <w:sz w:val="20"/>
      </w:rPr>
    </w:pPr>
    <w:r w:rsidRPr="00420DBA">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20DBA" w:rsidRDefault="00CD5EEE">
    <w:pPr>
      <w:spacing w:after="20"/>
      <w:rPr>
        <w:sz w:val="20"/>
      </w:rPr>
    </w:pPr>
    <w:r w:rsidRPr="00420DBA">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20DBA" w:rsidRDefault="00CD5EEE">
    <w:pPr>
      <w:spacing w:after="20"/>
      <w:rPr>
        <w:sz w:val="20"/>
      </w:rPr>
    </w:pPr>
    <w:r w:rsidRPr="00420DBA">
      <w:rPr>
        <w:color w:val="595959"/>
        <w:sz w:val="16"/>
      </w:rPr>
      <w:t>19º ENDOSUL | DIABETES MELLITUS | RELATO DE CASO</w:t>
    </w:r>
  </w:p>
  <w:p w:rsidR="00CD5EEE" w:rsidRDefault="00CD5EEE">
    <w:pPr>
      <w:pBdr>
        <w:bottom w:val="single" w:sz="6" w:space="2" w:color="B8962E"/>
      </w:pBdr>
      <w:spacing w:after="80"/>
    </w:pPr>
    <w:r>
      <w:rPr>
        <w:color w:val="B8962E"/>
        <w:sz w:val="16"/>
      </w:rPr>
      <w:t>07 a 09 de maio de 2026 | SBEM-RS – Porto Alegre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20DBA" w:rsidRDefault="00CD5EEE">
    <w:pPr>
      <w:spacing w:after="20"/>
      <w:rPr>
        <w:sz w:val="16"/>
        <w:szCs w:val="16"/>
      </w:rPr>
    </w:pPr>
    <w:r w:rsidRPr="00420DBA">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A1377" w:rsidRDefault="00CD5EEE">
    <w:pPr>
      <w:spacing w:after="20"/>
      <w:rPr>
        <w:sz w:val="16"/>
        <w:szCs w:val="16"/>
      </w:rPr>
    </w:pPr>
    <w:r w:rsidRPr="00FA1377">
      <w:rPr>
        <w:color w:val="595959"/>
        <w:sz w:val="16"/>
        <w:szCs w:val="16"/>
      </w:rPr>
      <w:t>19º ENDOSUL</w:t>
    </w:r>
    <w:r>
      <w:rPr>
        <w:color w:val="595959"/>
        <w:sz w:val="16"/>
        <w:szCs w:val="16"/>
      </w:rPr>
      <w:t xml:space="preserve"> </w:t>
    </w:r>
    <w:r w:rsidRPr="00FA1377">
      <w:rPr>
        <w:color w:val="595959"/>
        <w:sz w:val="16"/>
        <w:szCs w:val="16"/>
      </w:rPr>
      <w:t>|</w:t>
    </w:r>
    <w:r>
      <w:rPr>
        <w:color w:val="595959"/>
        <w:sz w:val="16"/>
        <w:szCs w:val="16"/>
      </w:rPr>
      <w:t xml:space="preserve"> </w:t>
    </w:r>
    <w:r w:rsidRPr="00FA1377">
      <w:rPr>
        <w:color w:val="595959"/>
        <w:sz w:val="16"/>
        <w:szCs w:val="16"/>
      </w:rPr>
      <w:t>ADRENAL E HIPERTENSÃO</w:t>
    </w:r>
    <w:r>
      <w:rPr>
        <w:color w:val="595959"/>
        <w:sz w:val="16"/>
        <w:szCs w:val="16"/>
      </w:rPr>
      <w:t xml:space="preserve"> </w:t>
    </w:r>
    <w:r w:rsidRPr="00FA1377">
      <w:rPr>
        <w:color w:val="595959"/>
        <w:sz w:val="16"/>
        <w:szCs w:val="16"/>
      </w:rPr>
      <w:t>|</w:t>
    </w:r>
    <w:r>
      <w:rPr>
        <w:color w:val="595959"/>
        <w:sz w:val="16"/>
        <w:szCs w:val="16"/>
      </w:rPr>
      <w:t xml:space="preserve"> </w:t>
    </w:r>
    <w:r w:rsidRPr="00FA1377">
      <w:rPr>
        <w:color w:val="595959"/>
        <w:sz w:val="16"/>
        <w:szCs w:val="16"/>
      </w:rPr>
      <w:t>RELATO DE CASO</w:t>
    </w:r>
  </w:p>
  <w:p w:rsidR="00CD5EEE" w:rsidRDefault="00CD5EEE">
    <w:pPr>
      <w:pBdr>
        <w:bottom w:val="single" w:sz="6" w:space="2" w:color="B8962E"/>
      </w:pBdr>
      <w:spacing w:after="80"/>
    </w:pPr>
    <w:r>
      <w:rPr>
        <w:color w:val="B8962E"/>
        <w:sz w:val="16"/>
      </w:rPr>
      <w:t>07 a 09 de maio de 2026 | SBEM-RS – Porto Alegre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spacing w:after="20"/>
      <w:rPr>
        <w:sz w:val="16"/>
        <w:szCs w:val="16"/>
      </w:rPr>
    </w:pPr>
    <w:r w:rsidRPr="00AF39C9">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spacing w:after="20"/>
      <w:rPr>
        <w:sz w:val="16"/>
        <w:szCs w:val="16"/>
      </w:rPr>
    </w:pPr>
    <w:r w:rsidRPr="00AF39C9">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AF39C9" w:rsidRDefault="00CD5EEE">
    <w:pPr>
      <w:spacing w:after="20"/>
      <w:rPr>
        <w:sz w:val="16"/>
        <w:szCs w:val="16"/>
      </w:rPr>
    </w:pPr>
    <w:r w:rsidRPr="00AF39C9">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74578" w:rsidRDefault="00CD5EEE">
    <w:pPr>
      <w:spacing w:after="20"/>
      <w:rPr>
        <w:sz w:val="16"/>
        <w:szCs w:val="16"/>
      </w:rPr>
    </w:pPr>
    <w:r w:rsidRPr="00F74578">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36ECF" w:rsidRDefault="00CD5EEE">
    <w:pPr>
      <w:spacing w:after="20"/>
      <w:rPr>
        <w:sz w:val="16"/>
        <w:szCs w:val="16"/>
      </w:rPr>
    </w:pPr>
    <w:r w:rsidRPr="00C36ECF">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C36ECF" w:rsidRDefault="00CD5EEE">
    <w:pPr>
      <w:spacing w:after="20"/>
      <w:rPr>
        <w:sz w:val="20"/>
      </w:rPr>
    </w:pPr>
    <w:r w:rsidRPr="00C36ECF">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55D07" w:rsidRDefault="00CD5EEE">
    <w:pPr>
      <w:spacing w:after="20"/>
      <w:rPr>
        <w:sz w:val="20"/>
      </w:rPr>
    </w:pPr>
    <w:r w:rsidRPr="00355D07">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90C61" w:rsidRDefault="00CD5EEE">
    <w:pPr>
      <w:spacing w:after="20"/>
      <w:rPr>
        <w:sz w:val="16"/>
        <w:szCs w:val="16"/>
      </w:rPr>
    </w:pPr>
    <w:r w:rsidRPr="00F90C61">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90C61" w:rsidRDefault="00CD5EEE">
    <w:pPr>
      <w:spacing w:after="20"/>
      <w:rPr>
        <w:sz w:val="16"/>
        <w:szCs w:val="16"/>
      </w:rPr>
    </w:pPr>
    <w:r w:rsidRPr="00F90C61">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90C61" w:rsidRDefault="00CD5EEE">
    <w:pPr>
      <w:spacing w:after="20"/>
      <w:rPr>
        <w:sz w:val="20"/>
      </w:rPr>
    </w:pPr>
    <w:r w:rsidRPr="00F90C61">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020E5" w:rsidRDefault="00CD5EEE">
    <w:pPr>
      <w:spacing w:after="20"/>
      <w:rPr>
        <w:sz w:val="16"/>
        <w:szCs w:val="16"/>
      </w:rPr>
    </w:pPr>
    <w:r w:rsidRPr="007020E5">
      <w:rPr>
        <w:color w:val="595959"/>
        <w:sz w:val="16"/>
        <w:szCs w:val="16"/>
      </w:rPr>
      <w:t>19º ENDOSUL</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ADRENAL E HIPERTENSÃO</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RELATO DE CASO</w:t>
    </w:r>
  </w:p>
  <w:p w:rsidR="00CD5EEE" w:rsidRDefault="00CD5EEE">
    <w:pPr>
      <w:pBdr>
        <w:bottom w:val="single" w:sz="6" w:space="2" w:color="B8962E"/>
      </w:pBdr>
      <w:spacing w:after="80"/>
    </w:pPr>
    <w:r>
      <w:rPr>
        <w:color w:val="B8962E"/>
        <w:sz w:val="16"/>
      </w:rPr>
      <w:t>07 a 09 de maio de 2026 | SBEM-RS – Porto Alegre</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90C61" w:rsidRDefault="00CD5EEE">
    <w:pPr>
      <w:spacing w:after="20"/>
      <w:rPr>
        <w:sz w:val="16"/>
        <w:szCs w:val="16"/>
      </w:rPr>
    </w:pPr>
    <w:r w:rsidRPr="00F90C61">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90C61" w:rsidRDefault="00CD5EEE">
    <w:pPr>
      <w:spacing w:after="20"/>
      <w:rPr>
        <w:sz w:val="18"/>
      </w:rPr>
    </w:pPr>
    <w:r w:rsidRPr="00F90C61">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43C0E" w:rsidRDefault="00CD5EEE">
    <w:pPr>
      <w:spacing w:after="20"/>
      <w:rPr>
        <w:sz w:val="20"/>
      </w:rPr>
    </w:pPr>
    <w:r w:rsidRPr="00043C0E">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43C0E" w:rsidRDefault="00CD5EEE">
    <w:pPr>
      <w:spacing w:after="20"/>
      <w:rPr>
        <w:sz w:val="20"/>
      </w:rPr>
    </w:pPr>
    <w:r w:rsidRPr="00043C0E">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43C0E" w:rsidRDefault="00CD5EEE">
    <w:pPr>
      <w:spacing w:after="20"/>
      <w:rPr>
        <w:sz w:val="20"/>
      </w:rPr>
    </w:pPr>
    <w:r w:rsidRPr="00043C0E">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43C0E" w:rsidRDefault="00CD5EEE">
    <w:pPr>
      <w:spacing w:after="20"/>
      <w:rPr>
        <w:sz w:val="16"/>
        <w:szCs w:val="16"/>
      </w:rPr>
    </w:pPr>
    <w:r w:rsidRPr="00043C0E">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20"/>
      </w:rPr>
    </w:pPr>
    <w:r w:rsidRPr="00181E05">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20"/>
      </w:rPr>
    </w:pPr>
    <w:r w:rsidRPr="00181E05">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20"/>
      </w:rPr>
    </w:pPr>
    <w:r w:rsidRPr="00181E05">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20"/>
      </w:rPr>
    </w:pPr>
    <w:r w:rsidRPr="00181E05">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FA1377" w:rsidRDefault="00CD5EEE">
    <w:pPr>
      <w:spacing w:after="20"/>
      <w:rPr>
        <w:sz w:val="16"/>
        <w:szCs w:val="16"/>
      </w:rPr>
    </w:pPr>
    <w:r w:rsidRPr="00FA1377">
      <w:rPr>
        <w:color w:val="595959"/>
        <w:sz w:val="16"/>
        <w:szCs w:val="16"/>
      </w:rPr>
      <w:t>19º ENDOSUL</w:t>
    </w:r>
    <w:r>
      <w:rPr>
        <w:color w:val="595959"/>
        <w:sz w:val="16"/>
        <w:szCs w:val="16"/>
      </w:rPr>
      <w:t xml:space="preserve"> </w:t>
    </w:r>
    <w:r w:rsidRPr="00FA1377">
      <w:rPr>
        <w:color w:val="595959"/>
        <w:sz w:val="16"/>
        <w:szCs w:val="16"/>
      </w:rPr>
      <w:t>|</w:t>
    </w:r>
    <w:r>
      <w:rPr>
        <w:color w:val="595959"/>
        <w:sz w:val="16"/>
        <w:szCs w:val="16"/>
      </w:rPr>
      <w:t xml:space="preserve"> </w:t>
    </w:r>
    <w:r w:rsidRPr="00FA1377">
      <w:rPr>
        <w:color w:val="595959"/>
        <w:sz w:val="16"/>
        <w:szCs w:val="16"/>
      </w:rPr>
      <w:t>ADRENAL E HIPERTENSÃO</w:t>
    </w:r>
    <w:r>
      <w:rPr>
        <w:color w:val="595959"/>
        <w:sz w:val="16"/>
        <w:szCs w:val="16"/>
      </w:rPr>
      <w:t xml:space="preserve"> </w:t>
    </w:r>
    <w:r w:rsidRPr="00FA1377">
      <w:rPr>
        <w:color w:val="595959"/>
        <w:sz w:val="16"/>
        <w:szCs w:val="16"/>
      </w:rPr>
      <w:t>|</w:t>
    </w:r>
    <w:r>
      <w:rPr>
        <w:color w:val="595959"/>
        <w:sz w:val="16"/>
        <w:szCs w:val="16"/>
      </w:rPr>
      <w:t xml:space="preserve"> </w:t>
    </w:r>
    <w:r w:rsidRPr="00FA1377">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20"/>
      </w:rPr>
    </w:pPr>
    <w:r w:rsidRPr="00181E05">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81E05" w:rsidRDefault="00CD5EEE">
    <w:pPr>
      <w:spacing w:after="20"/>
      <w:rPr>
        <w:sz w:val="16"/>
        <w:szCs w:val="16"/>
      </w:rPr>
    </w:pPr>
    <w:r w:rsidRPr="00181E05">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D476CA" w:rsidRDefault="00CD5EEE">
    <w:pPr>
      <w:spacing w:after="20"/>
      <w:rPr>
        <w:sz w:val="16"/>
        <w:szCs w:val="16"/>
      </w:rPr>
    </w:pPr>
    <w:r w:rsidRPr="00D476CA">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43B97" w:rsidRDefault="00CD5EEE">
    <w:pPr>
      <w:spacing w:after="20"/>
      <w:rPr>
        <w:sz w:val="20"/>
      </w:rPr>
    </w:pPr>
    <w:r w:rsidRPr="00843B97">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43B97" w:rsidRDefault="00CD5EEE">
    <w:pPr>
      <w:spacing w:after="20"/>
      <w:rPr>
        <w:sz w:val="16"/>
        <w:szCs w:val="16"/>
      </w:rPr>
    </w:pPr>
    <w:r w:rsidRPr="00843B97">
      <w:rPr>
        <w:color w:val="595959"/>
        <w:sz w:val="16"/>
        <w:szCs w:val="16"/>
      </w:rPr>
      <w:t>19º ENDOSUL | DIABETES MELLITUS | RELATO DE CASO</w:t>
    </w:r>
  </w:p>
  <w:p w:rsidR="00CD5EEE" w:rsidRDefault="00CD5EEE">
    <w:pPr>
      <w:pBdr>
        <w:bottom w:val="single" w:sz="6" w:space="2" w:color="B8962E"/>
      </w:pBdr>
      <w:spacing w:after="80"/>
    </w:pPr>
    <w:r>
      <w:rPr>
        <w:color w:val="B8962E"/>
        <w:sz w:val="16"/>
      </w:rPr>
      <w:t>07 a 09 de maio de 2026 | SBEM-RS – Porto Alegre</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43B97" w:rsidRDefault="00CD5EEE">
    <w:pPr>
      <w:spacing w:after="20"/>
      <w:rPr>
        <w:sz w:val="16"/>
        <w:szCs w:val="16"/>
      </w:rPr>
    </w:pPr>
    <w:r w:rsidRPr="00843B97">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A58E8" w:rsidRDefault="00CD5EEE">
    <w:pPr>
      <w:spacing w:after="20"/>
      <w:rPr>
        <w:sz w:val="16"/>
        <w:szCs w:val="16"/>
      </w:rPr>
    </w:pPr>
    <w:r w:rsidRPr="008A58E8">
      <w:rPr>
        <w:color w:val="595959"/>
        <w:sz w:val="16"/>
        <w:szCs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A58E8" w:rsidRDefault="00CD5EEE">
    <w:pPr>
      <w:spacing w:after="20"/>
      <w:rPr>
        <w:sz w:val="20"/>
      </w:rPr>
    </w:pPr>
    <w:r w:rsidRPr="008A58E8">
      <w:rPr>
        <w:color w:val="595959"/>
        <w:sz w:val="16"/>
      </w:rPr>
      <w:t>19º ENDOSUL | DIABETES MELLITUS | RELATO DE CASO</w:t>
    </w:r>
  </w:p>
  <w:p w:rsidR="00CD5EEE" w:rsidRDefault="00CD5EEE">
    <w:pPr>
      <w:pBdr>
        <w:bottom w:val="single" w:sz="6" w:space="2" w:color="B8962E"/>
      </w:pBdr>
      <w:spacing w:after="80"/>
    </w:pPr>
    <w:r>
      <w:rPr>
        <w:color w:val="B8962E"/>
        <w:sz w:val="16"/>
      </w:rPr>
      <w:t>07 a 09 de maio de 2026 | SBEM-RS – Porto Alegre</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A58E8" w:rsidRDefault="00CD5EEE">
    <w:pPr>
      <w:spacing w:after="20"/>
      <w:rPr>
        <w:sz w:val="20"/>
      </w:rPr>
    </w:pPr>
    <w:r w:rsidRPr="008A58E8">
      <w:rPr>
        <w:color w:val="595959"/>
        <w:sz w:val="16"/>
      </w:rPr>
      <w:t>19º ENDOSUL | DIABETES MELLITUS | RESUMO</w:t>
    </w:r>
  </w:p>
  <w:p w:rsidR="00CD5EEE" w:rsidRDefault="00CD5EEE">
    <w:pPr>
      <w:pBdr>
        <w:bottom w:val="single" w:sz="6" w:space="2" w:color="B8962E"/>
      </w:pBdr>
      <w:spacing w:after="80"/>
    </w:pPr>
    <w:r>
      <w:rPr>
        <w:color w:val="B8962E"/>
        <w:sz w:val="16"/>
      </w:rPr>
      <w:t>07 a 09 de maio de 2026 | SBEM-RS – Porto Alegre</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1D0440" w:rsidRDefault="00CD5EEE">
    <w:pPr>
      <w:spacing w:after="20"/>
      <w:rPr>
        <w:sz w:val="16"/>
        <w:szCs w:val="16"/>
      </w:rPr>
    </w:pPr>
    <w:r w:rsidRPr="001D0440">
      <w:rPr>
        <w:color w:val="595959"/>
        <w:sz w:val="16"/>
        <w:szCs w:val="16"/>
      </w:rPr>
      <w:t>19º ENDOSUL | DISLIPIDEMIA E ATEROSCLEROSE | RESUMO</w:t>
    </w:r>
  </w:p>
  <w:p w:rsidR="00CD5EEE" w:rsidRDefault="00CD5EEE">
    <w:pPr>
      <w:pBdr>
        <w:bottom w:val="single" w:sz="6" w:space="2" w:color="B8962E"/>
      </w:pBdr>
      <w:spacing w:after="80"/>
    </w:pPr>
    <w:r>
      <w:rPr>
        <w:color w:val="B8962E"/>
        <w:sz w:val="16"/>
      </w:rPr>
      <w:t>07 a 09 de maio de 2026 | SBEM-RS – Porto Alegre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020E5" w:rsidRDefault="00CD5EEE">
    <w:pPr>
      <w:spacing w:after="20"/>
      <w:rPr>
        <w:sz w:val="16"/>
        <w:szCs w:val="16"/>
      </w:rPr>
    </w:pPr>
    <w:r w:rsidRPr="007020E5">
      <w:rPr>
        <w:color w:val="595959"/>
        <w:sz w:val="16"/>
        <w:szCs w:val="16"/>
      </w:rPr>
      <w:t>19º ENDOSUL</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ADRENAL E HIPERTENSÃO</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RELATO DE CASO</w:t>
    </w:r>
  </w:p>
  <w:p w:rsidR="00CD5EEE" w:rsidRDefault="00CD5EEE">
    <w:pPr>
      <w:pBdr>
        <w:bottom w:val="single" w:sz="6" w:space="2" w:color="B8962E"/>
      </w:pBdr>
      <w:spacing w:after="80"/>
    </w:pPr>
    <w:r>
      <w:rPr>
        <w:color w:val="B8962E"/>
        <w:sz w:val="16"/>
      </w:rPr>
      <w:t>07 a 09 de maio de 2026 | SBEM-RS – Porto Alegre</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937F1" w:rsidRDefault="00CD5EEE">
    <w:pPr>
      <w:spacing w:after="20"/>
      <w:rPr>
        <w:sz w:val="20"/>
      </w:rPr>
    </w:pPr>
    <w:r w:rsidRPr="000937F1">
      <w:rPr>
        <w:color w:val="595959"/>
        <w:sz w:val="16"/>
      </w:rPr>
      <w:t>19º ENDOSUL | DISLIPIDEMIA E ATEROSCLEROSE | RESUMO</w:t>
    </w:r>
  </w:p>
  <w:p w:rsidR="00CD5EEE" w:rsidRDefault="00CD5EEE">
    <w:pPr>
      <w:pBdr>
        <w:bottom w:val="single" w:sz="6" w:space="2" w:color="B8962E"/>
      </w:pBdr>
      <w:spacing w:after="80"/>
    </w:pPr>
    <w:r>
      <w:rPr>
        <w:color w:val="B8962E"/>
        <w:sz w:val="16"/>
      </w:rPr>
      <w:t>07 a 09 de maio de 2026 | SBEM-RS – Porto Alegre</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937F1" w:rsidRDefault="00CD5EEE">
    <w:pPr>
      <w:spacing w:after="20"/>
      <w:rPr>
        <w:sz w:val="20"/>
      </w:rPr>
    </w:pPr>
    <w:r w:rsidRPr="000937F1">
      <w:rPr>
        <w:color w:val="595959"/>
        <w:sz w:val="16"/>
      </w:rPr>
      <w:t>19º ENDOSUL | DISLIPIDEMIA E ATEROSCLEROSE | RESUMO</w:t>
    </w:r>
  </w:p>
  <w:p w:rsidR="00CD5EEE" w:rsidRDefault="00CD5EEE">
    <w:pPr>
      <w:pBdr>
        <w:bottom w:val="single" w:sz="6" w:space="2" w:color="B8962E"/>
      </w:pBdr>
      <w:spacing w:after="80"/>
    </w:pPr>
    <w:r>
      <w:rPr>
        <w:color w:val="B8962E"/>
        <w:sz w:val="16"/>
      </w:rPr>
      <w:t>07 a 09 de maio de 2026 | SBEM-RS – Porto Alegre</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Default="00CD5EEE">
    <w:pPr>
      <w:spacing w:after="20"/>
    </w:pPr>
    <w:r>
      <w:rPr>
        <w:color w:val="595959"/>
        <w:sz w:val="18"/>
      </w:rPr>
      <w:t>19º ENDOSUL | DISLIPIDEMIA E ATEROSCLEROSE | RESUMO</w:t>
    </w:r>
  </w:p>
  <w:p w:rsidR="00CD5EEE" w:rsidRDefault="00CD5EEE">
    <w:pPr>
      <w:pBdr>
        <w:bottom w:val="single" w:sz="6" w:space="2" w:color="B8962E"/>
      </w:pBdr>
      <w:spacing w:after="80"/>
    </w:pPr>
    <w:r>
      <w:rPr>
        <w:color w:val="B8962E"/>
        <w:sz w:val="16"/>
      </w:rPr>
      <w:t>07 a 09 de maio de 2026 | SBEM-RS – Porto Alegre</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937F1" w:rsidRDefault="00CD5EEE">
    <w:pPr>
      <w:spacing w:after="20"/>
      <w:rPr>
        <w:sz w:val="20"/>
      </w:rPr>
    </w:pPr>
    <w:r w:rsidRPr="000937F1">
      <w:rPr>
        <w:color w:val="595959"/>
        <w:sz w:val="16"/>
      </w:rPr>
      <w:t>19º ENDOSUL | ENDOCRINOLOGIA BÁSICA | RESUMO</w:t>
    </w:r>
  </w:p>
  <w:p w:rsidR="00CD5EEE" w:rsidRDefault="00CD5EEE">
    <w:pPr>
      <w:pBdr>
        <w:bottom w:val="single" w:sz="6" w:space="2" w:color="B8962E"/>
      </w:pBdr>
      <w:spacing w:after="80"/>
    </w:pPr>
    <w:r>
      <w:rPr>
        <w:color w:val="B8962E"/>
        <w:sz w:val="16"/>
      </w:rPr>
      <w:t>07 a 09 de maio de 2026 | SBEM-RS – Porto Alegre</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93855" w:rsidRDefault="00CD5EEE">
    <w:pPr>
      <w:spacing w:after="20"/>
      <w:rPr>
        <w:sz w:val="20"/>
      </w:rPr>
    </w:pPr>
    <w:r w:rsidRPr="00593855">
      <w:rPr>
        <w:color w:val="595959"/>
        <w:sz w:val="16"/>
      </w:rPr>
      <w:t>19º ENDOSUL | ENDOCRINOLOGIA BÁSICA | RESUMO</w:t>
    </w:r>
  </w:p>
  <w:p w:rsidR="00CD5EEE" w:rsidRDefault="00CD5EEE">
    <w:pPr>
      <w:pBdr>
        <w:bottom w:val="single" w:sz="6" w:space="2" w:color="B8962E"/>
      </w:pBdr>
      <w:spacing w:after="80"/>
    </w:pPr>
    <w:r>
      <w:rPr>
        <w:color w:val="B8962E"/>
        <w:sz w:val="16"/>
      </w:rPr>
      <w:t>07 a 09 de maio de 2026 | SBEM-RS – Porto Alegre</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93855" w:rsidRDefault="00CD5EEE">
    <w:pPr>
      <w:spacing w:after="20"/>
      <w:rPr>
        <w:sz w:val="16"/>
        <w:szCs w:val="16"/>
      </w:rPr>
    </w:pPr>
    <w:r w:rsidRPr="00593855">
      <w:rPr>
        <w:color w:val="595959"/>
        <w:sz w:val="16"/>
        <w:szCs w:val="16"/>
      </w:rPr>
      <w:t>19º ENDOSUL | ENDOCRINOLOGIA BÁSICA | RESUMO</w:t>
    </w:r>
  </w:p>
  <w:p w:rsidR="00CD5EEE" w:rsidRDefault="00CD5EEE">
    <w:pPr>
      <w:pBdr>
        <w:bottom w:val="single" w:sz="6" w:space="2" w:color="B8962E"/>
      </w:pBdr>
      <w:spacing w:after="80"/>
    </w:pPr>
    <w:r>
      <w:rPr>
        <w:color w:val="B8962E"/>
        <w:sz w:val="16"/>
      </w:rPr>
      <w:t>07 a 09 de maio de 2026 | SBEM-RS – Porto Alegre</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93855" w:rsidRDefault="00CD5EEE">
    <w:pPr>
      <w:spacing w:after="20"/>
      <w:rPr>
        <w:sz w:val="16"/>
        <w:szCs w:val="16"/>
      </w:rPr>
    </w:pPr>
    <w:r w:rsidRPr="00593855">
      <w:rPr>
        <w:color w:val="595959"/>
        <w:sz w:val="16"/>
        <w:szCs w:val="16"/>
      </w:rPr>
      <w:t>19º ENDOSUL | ENDOCRINOLOGIA BÁSICA | RESUMO</w:t>
    </w:r>
  </w:p>
  <w:p w:rsidR="00CD5EEE" w:rsidRDefault="00CD5EEE">
    <w:pPr>
      <w:pBdr>
        <w:bottom w:val="single" w:sz="6" w:space="2" w:color="B8962E"/>
      </w:pBdr>
      <w:spacing w:after="80"/>
    </w:pPr>
    <w:r>
      <w:rPr>
        <w:color w:val="B8962E"/>
        <w:sz w:val="16"/>
      </w:rPr>
      <w:t>07 a 09 de maio de 2026 | SBEM-RS – Porto Alegre</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DO ESPORTE | RESUMO</w:t>
    </w:r>
  </w:p>
  <w:p w:rsidR="00CD5EEE" w:rsidRDefault="00CD5EEE">
    <w:pPr>
      <w:pBdr>
        <w:bottom w:val="single" w:sz="6" w:space="2" w:color="B8962E"/>
      </w:pBdr>
      <w:spacing w:after="80"/>
    </w:pPr>
    <w:r>
      <w:rPr>
        <w:color w:val="B8962E"/>
        <w:sz w:val="16"/>
      </w:rPr>
      <w:t>07 a 09 de maio de 2026 | SBEM-RS – Porto Alegre</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DO ESPORTE | RESUMO</w:t>
    </w:r>
  </w:p>
  <w:p w:rsidR="00CD5EEE" w:rsidRDefault="00CD5EEE">
    <w:pPr>
      <w:pBdr>
        <w:bottom w:val="single" w:sz="6" w:space="2" w:color="B8962E"/>
      </w:pBdr>
      <w:spacing w:after="80"/>
    </w:pPr>
    <w:r>
      <w:rPr>
        <w:color w:val="B8962E"/>
        <w:sz w:val="16"/>
      </w:rPr>
      <w:t>07 a 09 de maio de 2026 | SBEM-RS – Porto Alegre</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DO ESPORTE | RESUMO</w:t>
    </w:r>
  </w:p>
  <w:p w:rsidR="00CD5EEE" w:rsidRDefault="00CD5EEE">
    <w:pPr>
      <w:pBdr>
        <w:bottom w:val="single" w:sz="6" w:space="2" w:color="B8962E"/>
      </w:pBdr>
      <w:spacing w:after="80"/>
    </w:pPr>
    <w:r>
      <w:rPr>
        <w:color w:val="B8962E"/>
        <w:sz w:val="16"/>
      </w:rPr>
      <w:t>07 a 09 de maio de 2026 | SBEM-RS – Porto Alegre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6"/>
        <w:szCs w:val="16"/>
      </w:rPr>
    </w:pPr>
    <w:r w:rsidRPr="003D109D">
      <w:rPr>
        <w:color w:val="595959"/>
        <w:sz w:val="16"/>
        <w:szCs w:val="16"/>
      </w:rPr>
      <w:t>19º ENDOSUL</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ADRENAL E HIPERTENSÃO</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FEMININA E ANDROLOGIA | RESUMO</w:t>
    </w:r>
  </w:p>
  <w:p w:rsidR="00CD5EEE" w:rsidRDefault="00CD5EEE">
    <w:pPr>
      <w:pBdr>
        <w:bottom w:val="single" w:sz="6" w:space="2" w:color="B8962E"/>
      </w:pBdr>
      <w:spacing w:after="80"/>
    </w:pPr>
    <w:r>
      <w:rPr>
        <w:color w:val="B8962E"/>
        <w:sz w:val="16"/>
      </w:rPr>
      <w:t>07 a 09 de maio de 2026 | SBEM-RS – Porto Alegre</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FEMININA E ANDROLOGIA | RELATO DE CASO</w:t>
    </w:r>
  </w:p>
  <w:p w:rsidR="00CD5EEE" w:rsidRDefault="00CD5EEE">
    <w:pPr>
      <w:pBdr>
        <w:bottom w:val="single" w:sz="6" w:space="2" w:color="B8962E"/>
      </w:pBdr>
      <w:spacing w:after="80"/>
    </w:pPr>
    <w:r>
      <w:rPr>
        <w:color w:val="B8962E"/>
        <w:sz w:val="16"/>
      </w:rPr>
      <w:t>07 a 09 de maio de 2026 | SBEM-RS – Porto Alegre</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FEMININA E ANDROLOGIA | RESUMO</w:t>
    </w:r>
  </w:p>
  <w:p w:rsidR="00CD5EEE" w:rsidRDefault="00CD5EEE">
    <w:pPr>
      <w:pBdr>
        <w:bottom w:val="single" w:sz="6" w:space="2" w:color="B8962E"/>
      </w:pBdr>
      <w:spacing w:after="80"/>
    </w:pPr>
    <w:r>
      <w:rPr>
        <w:color w:val="B8962E"/>
        <w:sz w:val="16"/>
      </w:rPr>
      <w:t>07 a 09 de maio de 2026 | SBEM-RS – Porto Alegre</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FEMININA E ANDROLOGIA | RELATO DE CASO</w:t>
    </w:r>
  </w:p>
  <w:p w:rsidR="00CD5EEE" w:rsidRDefault="00CD5EEE">
    <w:pPr>
      <w:pBdr>
        <w:bottom w:val="single" w:sz="6" w:space="2" w:color="B8962E"/>
      </w:pBdr>
      <w:spacing w:after="80"/>
    </w:pPr>
    <w:r>
      <w:rPr>
        <w:color w:val="B8962E"/>
        <w:sz w:val="16"/>
      </w:rPr>
      <w:t>07 a 09 de maio de 2026 | SBEM-RS – Porto Alegre</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16"/>
        <w:szCs w:val="16"/>
      </w:rPr>
    </w:pPr>
    <w:r w:rsidRPr="006D2F3F">
      <w:rPr>
        <w:color w:val="595959"/>
        <w:sz w:val="16"/>
        <w:szCs w:val="16"/>
      </w:rPr>
      <w:t>19º ENDOSUL | ENDOCRINOLOGIA FEMININA E ANDROLOGIA | RESUMO</w:t>
    </w:r>
  </w:p>
  <w:p w:rsidR="00CD5EEE" w:rsidRDefault="00CD5EEE">
    <w:pPr>
      <w:pBdr>
        <w:bottom w:val="single" w:sz="6" w:space="2" w:color="B8962E"/>
      </w:pBdr>
      <w:spacing w:after="80"/>
    </w:pPr>
    <w:r>
      <w:rPr>
        <w:color w:val="B8962E"/>
        <w:sz w:val="16"/>
      </w:rPr>
      <w:t>07 a 09 de maio de 2026 | SBEM-RS – Porto Alegre</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20"/>
      </w:rPr>
    </w:pPr>
    <w:r w:rsidRPr="006D2F3F">
      <w:rPr>
        <w:color w:val="595959"/>
        <w:sz w:val="16"/>
      </w:rPr>
      <w:t>19º ENDOSUL | METABOLISMO ÓSSEO E MINERAL | RELATO DE CASO</w:t>
    </w:r>
  </w:p>
  <w:p w:rsidR="00CD5EEE" w:rsidRDefault="00CD5EEE">
    <w:pPr>
      <w:pBdr>
        <w:bottom w:val="single" w:sz="6" w:space="2" w:color="B8962E"/>
      </w:pBdr>
      <w:spacing w:after="80"/>
    </w:pPr>
    <w:r>
      <w:rPr>
        <w:color w:val="B8962E"/>
        <w:sz w:val="16"/>
      </w:rPr>
      <w:t>07 a 09 de maio de 2026 | SBEM-RS – Porto Alegre</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6D2F3F" w:rsidRDefault="00CD5EEE">
    <w:pPr>
      <w:spacing w:after="20"/>
      <w:rPr>
        <w:sz w:val="20"/>
      </w:rPr>
    </w:pPr>
    <w:r w:rsidRPr="006D2F3F">
      <w:rPr>
        <w:color w:val="595959"/>
        <w:sz w:val="16"/>
      </w:rPr>
      <w:t>19º ENDOSUL | METABOLISMO ÓSSEO E MINERAL | RELATO DE CASO</w:t>
    </w:r>
  </w:p>
  <w:p w:rsidR="00CD5EEE" w:rsidRDefault="00CD5EEE">
    <w:pPr>
      <w:pBdr>
        <w:bottom w:val="single" w:sz="6" w:space="2" w:color="B8962E"/>
      </w:pBdr>
      <w:spacing w:after="80"/>
    </w:pPr>
    <w:r>
      <w:rPr>
        <w:color w:val="B8962E"/>
        <w:sz w:val="16"/>
      </w:rPr>
      <w:t>07 a 09 de maio de 2026 | SBEM-RS – Porto Alegre</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20"/>
      </w:rPr>
    </w:pPr>
    <w:r w:rsidRPr="00416C1F">
      <w:rPr>
        <w:color w:val="595959"/>
        <w:sz w:val="16"/>
      </w:rPr>
      <w:t>19º ENDOSUL | METABOLISMO ÓSSEO E MINERAL | RESUMO</w:t>
    </w:r>
  </w:p>
  <w:p w:rsidR="00CD5EEE" w:rsidRDefault="00CD5EEE">
    <w:pPr>
      <w:pBdr>
        <w:bottom w:val="single" w:sz="6" w:space="2" w:color="B8962E"/>
      </w:pBdr>
      <w:spacing w:after="80"/>
    </w:pPr>
    <w:r>
      <w:rPr>
        <w:color w:val="B8962E"/>
        <w:sz w:val="16"/>
      </w:rPr>
      <w:t>07 a 09 de maio de 2026 | SBEM-RS – Porto Alegre</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20"/>
      </w:rPr>
    </w:pPr>
    <w:r w:rsidRPr="00416C1F">
      <w:rPr>
        <w:color w:val="595959"/>
        <w:sz w:val="16"/>
      </w:rPr>
      <w:t>19º ENDOSUL | METABOLISMO ÓSSEO E MINERAL | RELATO DE CASO</w:t>
    </w:r>
  </w:p>
  <w:p w:rsidR="00CD5EEE" w:rsidRDefault="00CD5EEE">
    <w:pPr>
      <w:pBdr>
        <w:bottom w:val="single" w:sz="6" w:space="2" w:color="B8962E"/>
      </w:pBdr>
      <w:spacing w:after="80"/>
    </w:pPr>
    <w:r>
      <w:rPr>
        <w:color w:val="B8962E"/>
        <w:sz w:val="16"/>
      </w:rPr>
      <w:t>07 a 09 de maio de 2026 | SBEM-RS – Porto Alegre</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16"/>
        <w:szCs w:val="16"/>
      </w:rPr>
    </w:pPr>
    <w:r w:rsidRPr="00416C1F">
      <w:rPr>
        <w:color w:val="595959"/>
        <w:sz w:val="16"/>
        <w:szCs w:val="16"/>
      </w:rPr>
      <w:t>19º ENDOSUL | METABOLISMO ÓSSEO E MINERAL | RESUMO</w:t>
    </w:r>
  </w:p>
  <w:p w:rsidR="00CD5EEE" w:rsidRDefault="00CD5EEE">
    <w:pPr>
      <w:pBdr>
        <w:bottom w:val="single" w:sz="6" w:space="2" w:color="B8962E"/>
      </w:pBdr>
      <w:spacing w:after="80"/>
    </w:pPr>
    <w:r>
      <w:rPr>
        <w:color w:val="B8962E"/>
        <w:sz w:val="16"/>
      </w:rPr>
      <w:t>07 a 09 de maio de 2026 | SBEM-RS – Porto Alegre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7020E5" w:rsidRDefault="00CD5EEE">
    <w:pPr>
      <w:spacing w:after="20"/>
      <w:rPr>
        <w:sz w:val="16"/>
        <w:szCs w:val="16"/>
      </w:rPr>
    </w:pPr>
    <w:r w:rsidRPr="007020E5">
      <w:rPr>
        <w:color w:val="595959"/>
        <w:sz w:val="16"/>
        <w:szCs w:val="16"/>
      </w:rPr>
      <w:t>19º ENDOSUL</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DIABETES MELLITUS</w:t>
    </w:r>
    <w:r>
      <w:rPr>
        <w:color w:val="595959"/>
        <w:sz w:val="16"/>
        <w:szCs w:val="16"/>
      </w:rPr>
      <w:t xml:space="preserve"> </w:t>
    </w:r>
    <w:r w:rsidRPr="007020E5">
      <w:rPr>
        <w:color w:val="595959"/>
        <w:sz w:val="16"/>
        <w:szCs w:val="16"/>
      </w:rPr>
      <w:t>|</w:t>
    </w:r>
    <w:r>
      <w:rPr>
        <w:color w:val="595959"/>
        <w:sz w:val="16"/>
        <w:szCs w:val="16"/>
      </w:rPr>
      <w:t xml:space="preserve"> </w:t>
    </w:r>
    <w:r w:rsidRPr="007020E5">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20"/>
      </w:rPr>
    </w:pPr>
    <w:r w:rsidRPr="00416C1F">
      <w:rPr>
        <w:color w:val="595959"/>
        <w:sz w:val="16"/>
      </w:rPr>
      <w:t>19º ENDOSUL | METABOLISMO ÓSSEO E MINERAL | RELATO DE CASO</w:t>
    </w:r>
  </w:p>
  <w:p w:rsidR="00CD5EEE" w:rsidRDefault="00CD5EEE">
    <w:pPr>
      <w:pBdr>
        <w:bottom w:val="single" w:sz="6" w:space="2" w:color="B8962E"/>
      </w:pBdr>
      <w:spacing w:after="80"/>
    </w:pPr>
    <w:r>
      <w:rPr>
        <w:color w:val="B8962E"/>
        <w:sz w:val="16"/>
      </w:rPr>
      <w:t>07 a 09 de maio de 2026 | SBEM-RS – Porto Alegre</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16"/>
        <w:szCs w:val="16"/>
      </w:rPr>
    </w:pPr>
    <w:r w:rsidRPr="00416C1F">
      <w:rPr>
        <w:color w:val="595959"/>
        <w:sz w:val="16"/>
        <w:szCs w:val="16"/>
      </w:rPr>
      <w:t>19º ENDOSUL | METABOLISMO ÓSSEO E MINERAL | RESUMO</w:t>
    </w:r>
  </w:p>
  <w:p w:rsidR="00CD5EEE" w:rsidRDefault="00CD5EEE">
    <w:pPr>
      <w:pBdr>
        <w:bottom w:val="single" w:sz="6" w:space="2" w:color="B8962E"/>
      </w:pBdr>
      <w:spacing w:after="80"/>
    </w:pPr>
    <w:r>
      <w:rPr>
        <w:color w:val="B8962E"/>
        <w:sz w:val="16"/>
      </w:rPr>
      <w:t>07 a 09 de maio de 2026 | SBEM-RS – Porto Alegre</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416C1F" w:rsidRDefault="00CD5EEE">
    <w:pPr>
      <w:spacing w:after="20"/>
      <w:rPr>
        <w:sz w:val="16"/>
        <w:szCs w:val="16"/>
      </w:rPr>
    </w:pPr>
    <w:r w:rsidRPr="00416C1F">
      <w:rPr>
        <w:color w:val="595959"/>
        <w:sz w:val="16"/>
        <w:szCs w:val="16"/>
      </w:rPr>
      <w:t>19º ENDOSUL | METABOLISMO ÓSSEO E MINERAL | RELATO DE CASO</w:t>
    </w:r>
  </w:p>
  <w:p w:rsidR="00CD5EEE" w:rsidRDefault="00CD5EEE">
    <w:pPr>
      <w:pBdr>
        <w:bottom w:val="single" w:sz="6" w:space="2" w:color="B8962E"/>
      </w:pBdr>
      <w:spacing w:after="80"/>
    </w:pPr>
    <w:r>
      <w:rPr>
        <w:color w:val="B8962E"/>
        <w:sz w:val="16"/>
      </w:rPr>
      <w:t>07 a 09 de maio de 2026 | SBEM-RS – Porto Alegre</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E628C" w:rsidRDefault="00CD5EEE">
    <w:pPr>
      <w:spacing w:after="20"/>
      <w:rPr>
        <w:sz w:val="16"/>
        <w:szCs w:val="16"/>
      </w:rPr>
    </w:pPr>
    <w:r w:rsidRPr="000E628C">
      <w:rPr>
        <w:color w:val="595959"/>
        <w:sz w:val="16"/>
        <w:szCs w:val="16"/>
      </w:rPr>
      <w:t>19º ENDOSUL | METABOLISMO ÓSSEO E MINERAL | RESUMO</w:t>
    </w:r>
  </w:p>
  <w:p w:rsidR="00CD5EEE" w:rsidRDefault="00CD5EEE">
    <w:pPr>
      <w:pBdr>
        <w:bottom w:val="single" w:sz="6" w:space="2" w:color="B8962E"/>
      </w:pBdr>
      <w:spacing w:after="80"/>
    </w:pPr>
    <w:r>
      <w:rPr>
        <w:color w:val="B8962E"/>
        <w:sz w:val="16"/>
      </w:rPr>
      <w:t>07 a 09 de maio de 2026 | SBEM-RS – Porto Alegre</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E628C" w:rsidRDefault="00CD5EEE">
    <w:pPr>
      <w:spacing w:after="20"/>
      <w:rPr>
        <w:sz w:val="16"/>
        <w:szCs w:val="16"/>
      </w:rPr>
    </w:pPr>
    <w:r w:rsidRPr="000E628C">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E628C" w:rsidRDefault="00CD5EEE">
    <w:pPr>
      <w:spacing w:after="20"/>
      <w:rPr>
        <w:sz w:val="20"/>
      </w:rPr>
    </w:pPr>
    <w:r w:rsidRPr="000E628C">
      <w:rPr>
        <w:color w:val="595959"/>
        <w:sz w:val="16"/>
      </w:rPr>
      <w:t>19º ENDOSUL | NEUROENDOCRINOLOGIA | RELATO DE CASO</w:t>
    </w:r>
  </w:p>
  <w:p w:rsidR="00CD5EEE" w:rsidRDefault="00CD5EEE">
    <w:pPr>
      <w:pBdr>
        <w:bottom w:val="single" w:sz="6" w:space="2" w:color="B8962E"/>
      </w:pBdr>
      <w:spacing w:after="80"/>
    </w:pPr>
    <w:r>
      <w:rPr>
        <w:color w:val="B8962E"/>
        <w:sz w:val="16"/>
      </w:rPr>
      <w:t>07 a 09 de maio de 2026 | SBEM-RS – Porto Alegre</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E628C" w:rsidRDefault="00CD5EEE">
    <w:pPr>
      <w:spacing w:after="20"/>
      <w:rPr>
        <w:sz w:val="16"/>
        <w:szCs w:val="16"/>
      </w:rPr>
    </w:pPr>
    <w:r w:rsidRPr="000E628C">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0E628C" w:rsidRDefault="00CD5EEE">
    <w:pPr>
      <w:spacing w:after="20"/>
      <w:rPr>
        <w:sz w:val="20"/>
      </w:rPr>
    </w:pPr>
    <w:r w:rsidRPr="000E628C">
      <w:rPr>
        <w:color w:val="595959"/>
        <w:sz w:val="16"/>
      </w:rPr>
      <w:t>19º ENDOSUL | NEUROENDOCRINOLOGIA | RELATO DE CASO</w:t>
    </w:r>
  </w:p>
  <w:p w:rsidR="00CD5EEE" w:rsidRDefault="00CD5EEE">
    <w:pPr>
      <w:pBdr>
        <w:bottom w:val="single" w:sz="6" w:space="2" w:color="B8962E"/>
      </w:pBdr>
      <w:spacing w:after="80"/>
    </w:pPr>
    <w:r>
      <w:rPr>
        <w:color w:val="B8962E"/>
        <w:sz w:val="16"/>
      </w:rPr>
      <w:t>07 a 09 de maio de 2026 | SBEM-RS – Porto Alegre</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3D109D" w:rsidRDefault="00CD5EEE">
    <w:pPr>
      <w:spacing w:after="20"/>
      <w:rPr>
        <w:sz w:val="16"/>
        <w:szCs w:val="16"/>
      </w:rPr>
    </w:pPr>
    <w:r w:rsidRPr="003D109D">
      <w:rPr>
        <w:color w:val="595959"/>
        <w:sz w:val="16"/>
        <w:szCs w:val="16"/>
      </w:rPr>
      <w:t>19º ENDOSUL</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DIABETES MELLITUS</w:t>
    </w:r>
    <w:r>
      <w:rPr>
        <w:color w:val="595959"/>
        <w:sz w:val="16"/>
        <w:szCs w:val="16"/>
      </w:rPr>
      <w:t xml:space="preserve"> </w:t>
    </w:r>
    <w:r w:rsidRPr="003D109D">
      <w:rPr>
        <w:color w:val="595959"/>
        <w:sz w:val="16"/>
        <w:szCs w:val="16"/>
      </w:rPr>
      <w:t>|</w:t>
    </w:r>
    <w:r>
      <w:rPr>
        <w:color w:val="595959"/>
        <w:sz w:val="16"/>
        <w:szCs w:val="16"/>
      </w:rPr>
      <w:t xml:space="preserve"> </w:t>
    </w:r>
    <w:r w:rsidRPr="003D109D">
      <w:rPr>
        <w:color w:val="595959"/>
        <w:sz w:val="16"/>
        <w:szCs w:val="16"/>
      </w:rPr>
      <w:t>RESUMO</w:t>
    </w:r>
  </w:p>
  <w:p w:rsidR="00CD5EEE" w:rsidRDefault="00CD5EEE">
    <w:pPr>
      <w:pBdr>
        <w:bottom w:val="single" w:sz="6" w:space="2" w:color="B8962E"/>
      </w:pBdr>
      <w:spacing w:after="80"/>
    </w:pPr>
    <w:r>
      <w:rPr>
        <w:color w:val="B8962E"/>
        <w:sz w:val="16"/>
      </w:rPr>
      <w:t>07 a 09 de maio de 2026 | SBEM-RS – Porto Alegre</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NEUROENDOCRINOLOGIA | RESUMO</w:t>
    </w:r>
  </w:p>
  <w:p w:rsidR="00CD5EEE" w:rsidRDefault="00CD5EEE">
    <w:pPr>
      <w:pBdr>
        <w:bottom w:val="single" w:sz="6" w:space="2" w:color="B8962E"/>
      </w:pBdr>
      <w:spacing w:after="80"/>
    </w:pPr>
    <w:r>
      <w:rPr>
        <w:color w:val="B8962E"/>
        <w:sz w:val="16"/>
      </w:rPr>
      <w:t>07 a 09 de maio de 2026 | SBEM-RS – Porto Alegre</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NEUROENDOCRINOLOGIA | RELATO DE CASO</w:t>
    </w:r>
  </w:p>
  <w:p w:rsidR="00CD5EEE" w:rsidRDefault="00CD5EEE">
    <w:pPr>
      <w:pBdr>
        <w:bottom w:val="single" w:sz="6" w:space="2" w:color="B8962E"/>
      </w:pBdr>
      <w:spacing w:after="80"/>
    </w:pPr>
    <w:r>
      <w:rPr>
        <w:color w:val="B8962E"/>
        <w:sz w:val="16"/>
      </w:rPr>
      <w:t>07 a 09 de maio de 2026 | SBEM-RS – Porto Alegre</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20"/>
      </w:rPr>
    </w:pPr>
    <w:r w:rsidRPr="0089429E">
      <w:rPr>
        <w:color w:val="595959"/>
        <w:sz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89429E" w:rsidRDefault="00CD5EEE">
    <w:pPr>
      <w:spacing w:after="20"/>
      <w:rPr>
        <w:sz w:val="16"/>
        <w:szCs w:val="16"/>
      </w:rPr>
    </w:pPr>
    <w:r w:rsidRPr="0089429E">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RELATO DE CASO</w:t>
    </w:r>
  </w:p>
  <w:p w:rsidR="00CD5EEE" w:rsidRDefault="00CD5EEE">
    <w:pPr>
      <w:pBdr>
        <w:bottom w:val="single" w:sz="6" w:space="2" w:color="B8962E"/>
      </w:pBdr>
      <w:spacing w:after="80"/>
    </w:pPr>
    <w:r>
      <w:rPr>
        <w:color w:val="B8962E"/>
        <w:sz w:val="16"/>
      </w:rPr>
      <w:t>07 a 09 de maio de 2026 | SBEM-RS – Porto Alegre</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20"/>
      </w:rPr>
    </w:pPr>
    <w:r w:rsidRPr="00546627">
      <w:rPr>
        <w:color w:val="595959"/>
        <w:sz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20"/>
      </w:rPr>
    </w:pPr>
    <w:r w:rsidRPr="00546627">
      <w:rPr>
        <w:color w:val="595959"/>
        <w:sz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EEE" w:rsidRPr="00546627" w:rsidRDefault="00CD5EEE">
    <w:pPr>
      <w:spacing w:after="20"/>
      <w:rPr>
        <w:sz w:val="16"/>
        <w:szCs w:val="16"/>
      </w:rPr>
    </w:pPr>
    <w:r w:rsidRPr="00546627">
      <w:rPr>
        <w:color w:val="595959"/>
        <w:sz w:val="16"/>
        <w:szCs w:val="16"/>
      </w:rPr>
      <w:t>19º ENDOSUL | ENDOCRINOLOGIA PEDIÁTRICA | RESUMO</w:t>
    </w:r>
  </w:p>
  <w:p w:rsidR="00CD5EEE" w:rsidRDefault="00CD5EEE">
    <w:pPr>
      <w:pBdr>
        <w:bottom w:val="single" w:sz="6" w:space="2" w:color="B8962E"/>
      </w:pBdr>
      <w:spacing w:after="80"/>
    </w:pPr>
    <w:r>
      <w:rPr>
        <w:color w:val="B8962E"/>
        <w:sz w:val="16"/>
      </w:rPr>
      <w:t>07 a 09 de maio de 2026 | SBEM-RS – Porto Alegre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0BD0A13A"/>
    <w:lvl w:ilvl="0">
      <w:start w:val="1"/>
      <w:numFmt w:val="decimal"/>
      <w:lvlText w:val="%1."/>
      <w:lvlJc w:val="left"/>
      <w:pPr>
        <w:tabs>
          <w:tab w:val="num" w:pos="1800"/>
        </w:tabs>
        <w:ind w:left="18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7D"/>
    <w:multiLevelType w:val="multilevel"/>
    <w:tmpl w:val="D646DE84"/>
    <w:lvl w:ilvl="0">
      <w:start w:val="1"/>
      <w:numFmt w:val="decimal"/>
      <w:lvlText w:val="%1."/>
      <w:lvlJc w:val="left"/>
      <w:pPr>
        <w:tabs>
          <w:tab w:val="num" w:pos="1440"/>
        </w:tabs>
        <w:ind w:left="144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7E"/>
    <w:multiLevelType w:val="multilevel"/>
    <w:tmpl w:val="20AE3046"/>
    <w:lvl w:ilvl="0">
      <w:start w:val="1"/>
      <w:numFmt w:val="decimal"/>
      <w:pStyle w:val="Numerada3"/>
      <w:lvlText w:val="%1."/>
      <w:lvlJc w:val="left"/>
      <w:pPr>
        <w:tabs>
          <w:tab w:val="num" w:pos="1080"/>
        </w:tabs>
        <w:ind w:left="108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7F"/>
    <w:multiLevelType w:val="multilevel"/>
    <w:tmpl w:val="32125192"/>
    <w:lvl w:ilvl="0">
      <w:start w:val="1"/>
      <w:numFmt w:val="decimal"/>
      <w:pStyle w:val="Numerada2"/>
      <w:lvlText w:val="%1."/>
      <w:lvlJc w:val="left"/>
      <w:pPr>
        <w:tabs>
          <w:tab w:val="num" w:pos="720"/>
        </w:tabs>
        <w:ind w:left="72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FFFFFF81"/>
    <w:multiLevelType w:val="multilevel"/>
    <w:tmpl w:val="AA1A4662"/>
    <w:lvl w:ilvl="0">
      <w:start w:val="1"/>
      <w:numFmt w:val="bullet"/>
      <w:lvlText w:val=""/>
      <w:lvlJc w:val="left"/>
      <w:pPr>
        <w:tabs>
          <w:tab w:val="num" w:pos="1440"/>
        </w:tabs>
        <w:ind w:left="144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FFFFFF82"/>
    <w:multiLevelType w:val="multilevel"/>
    <w:tmpl w:val="8EA27ED0"/>
    <w:lvl w:ilvl="0">
      <w:start w:val="1"/>
      <w:numFmt w:val="bullet"/>
      <w:pStyle w:val="Commarcadores3"/>
      <w:lvlText w:val=""/>
      <w:lvlJc w:val="left"/>
      <w:pPr>
        <w:tabs>
          <w:tab w:val="num" w:pos="1080"/>
        </w:tabs>
        <w:ind w:left="108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FFFFFF83"/>
    <w:multiLevelType w:val="multilevel"/>
    <w:tmpl w:val="6B146176"/>
    <w:lvl w:ilvl="0">
      <w:start w:val="1"/>
      <w:numFmt w:val="bullet"/>
      <w:pStyle w:val="Commarcadores2"/>
      <w:lvlText w:val=""/>
      <w:lvlJc w:val="left"/>
      <w:pPr>
        <w:tabs>
          <w:tab w:val="num" w:pos="720"/>
        </w:tabs>
        <w:ind w:left="72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FFFFFF88"/>
    <w:multiLevelType w:val="multilevel"/>
    <w:tmpl w:val="663EC4B8"/>
    <w:lvl w:ilvl="0">
      <w:start w:val="1"/>
      <w:numFmt w:val="decimal"/>
      <w:pStyle w:val="Numerad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FFFFFF89"/>
    <w:multiLevelType w:val="multilevel"/>
    <w:tmpl w:val="6082E44A"/>
    <w:lvl w:ilvl="0">
      <w:start w:val="1"/>
      <w:numFmt w:val="bullet"/>
      <w:pStyle w:val="Commarcadores"/>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910"/>
    <w:rsid w:val="00004A23"/>
    <w:rsid w:val="00043C0E"/>
    <w:rsid w:val="00057F5C"/>
    <w:rsid w:val="000937F1"/>
    <w:rsid w:val="000B5910"/>
    <w:rsid w:val="000D5001"/>
    <w:rsid w:val="000E628C"/>
    <w:rsid w:val="00174C8F"/>
    <w:rsid w:val="00181E05"/>
    <w:rsid w:val="001D0440"/>
    <w:rsid w:val="00232B1E"/>
    <w:rsid w:val="00355D07"/>
    <w:rsid w:val="003D109D"/>
    <w:rsid w:val="00416C1F"/>
    <w:rsid w:val="00420DBA"/>
    <w:rsid w:val="004D2F29"/>
    <w:rsid w:val="00543B9C"/>
    <w:rsid w:val="00546627"/>
    <w:rsid w:val="00593855"/>
    <w:rsid w:val="005A5C3A"/>
    <w:rsid w:val="00614276"/>
    <w:rsid w:val="0064145B"/>
    <w:rsid w:val="006D2F3F"/>
    <w:rsid w:val="006F62EF"/>
    <w:rsid w:val="007020E5"/>
    <w:rsid w:val="00721789"/>
    <w:rsid w:val="007A5D26"/>
    <w:rsid w:val="00843B97"/>
    <w:rsid w:val="0089429E"/>
    <w:rsid w:val="008A58E8"/>
    <w:rsid w:val="00A3406D"/>
    <w:rsid w:val="00AF39C9"/>
    <w:rsid w:val="00C36ECF"/>
    <w:rsid w:val="00CD5EEE"/>
    <w:rsid w:val="00D476CA"/>
    <w:rsid w:val="00ED6779"/>
    <w:rsid w:val="00EF0997"/>
    <w:rsid w:val="00F74578"/>
    <w:rsid w:val="00F90C61"/>
    <w:rsid w:val="00FA1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D09F5B"/>
  <w15:docId w15:val="{93AE5F09-4B7F-4C0E-8001-BAE34D20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1"/>
    </w:rPr>
  </w:style>
  <w:style w:type="paragraph" w:styleId="Ttulo1">
    <w:name w:val="heading 1"/>
    <w:basedOn w:val="Normal"/>
    <w:next w:val="Normal"/>
    <w:link w:val="Ttulo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aSimples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aSimples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aSimples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Fontepargpadro"/>
    <w:uiPriority w:val="9"/>
    <w:rPr>
      <w:rFonts w:ascii="Arial" w:eastAsia="Arial" w:hAnsi="Arial" w:cs="Arial"/>
      <w:color w:val="365F91" w:themeColor="accent1" w:themeShade="BF"/>
      <w:sz w:val="40"/>
      <w:szCs w:val="40"/>
    </w:rPr>
  </w:style>
  <w:style w:type="character" w:customStyle="1" w:styleId="Heading2Char">
    <w:name w:val="Heading 2 Char"/>
    <w:basedOn w:val="Fontepargpadro"/>
    <w:uiPriority w:val="9"/>
    <w:rPr>
      <w:rFonts w:ascii="Arial" w:eastAsia="Arial" w:hAnsi="Arial" w:cs="Arial"/>
      <w:color w:val="365F91" w:themeColor="accent1" w:themeShade="BF"/>
      <w:sz w:val="32"/>
      <w:szCs w:val="32"/>
    </w:rPr>
  </w:style>
  <w:style w:type="character" w:customStyle="1" w:styleId="Heading3Char">
    <w:name w:val="Heading 3 Char"/>
    <w:basedOn w:val="Fontepargpadro"/>
    <w:uiPriority w:val="9"/>
    <w:rPr>
      <w:rFonts w:ascii="Arial" w:eastAsia="Arial" w:hAnsi="Arial" w:cs="Arial"/>
      <w:color w:val="365F91" w:themeColor="accent1" w:themeShade="BF"/>
      <w:sz w:val="28"/>
      <w:szCs w:val="28"/>
    </w:rPr>
  </w:style>
  <w:style w:type="character" w:customStyle="1" w:styleId="Heading4Char">
    <w:name w:val="Heading 4 Char"/>
    <w:basedOn w:val="Fontepargpadro"/>
    <w:uiPriority w:val="9"/>
    <w:rPr>
      <w:rFonts w:ascii="Arial" w:eastAsia="Arial" w:hAnsi="Arial" w:cs="Arial"/>
      <w:i/>
      <w:iCs/>
      <w:color w:val="365F91" w:themeColor="accent1" w:themeShade="BF"/>
    </w:rPr>
  </w:style>
  <w:style w:type="character" w:customStyle="1" w:styleId="Heading5Char">
    <w:name w:val="Heading 5 Char"/>
    <w:basedOn w:val="Fontepargpadro"/>
    <w:uiPriority w:val="9"/>
    <w:rPr>
      <w:rFonts w:ascii="Arial" w:eastAsia="Arial" w:hAnsi="Arial" w:cs="Arial"/>
      <w:color w:val="365F91" w:themeColor="accent1" w:themeShade="BF"/>
    </w:rPr>
  </w:style>
  <w:style w:type="character" w:customStyle="1" w:styleId="Heading6Char">
    <w:name w:val="Heading 6 Char"/>
    <w:basedOn w:val="Fontepargpadro"/>
    <w:uiPriority w:val="9"/>
    <w:rPr>
      <w:rFonts w:ascii="Arial" w:eastAsia="Arial" w:hAnsi="Arial" w:cs="Arial"/>
      <w:i/>
      <w:iCs/>
      <w:color w:val="595959" w:themeColor="text1" w:themeTint="A6"/>
    </w:rPr>
  </w:style>
  <w:style w:type="character" w:customStyle="1" w:styleId="Heading7Char">
    <w:name w:val="Heading 7 Char"/>
    <w:basedOn w:val="Fontepargpadro"/>
    <w:uiPriority w:val="9"/>
    <w:rPr>
      <w:rFonts w:ascii="Arial" w:eastAsia="Arial" w:hAnsi="Arial" w:cs="Arial"/>
      <w:color w:val="595959" w:themeColor="text1" w:themeTint="A6"/>
    </w:rPr>
  </w:style>
  <w:style w:type="character" w:customStyle="1" w:styleId="Heading8Char">
    <w:name w:val="Heading 8 Char"/>
    <w:basedOn w:val="Fontepargpadro"/>
    <w:uiPriority w:val="9"/>
    <w:rPr>
      <w:rFonts w:ascii="Arial" w:eastAsia="Arial" w:hAnsi="Arial" w:cs="Arial"/>
      <w:i/>
      <w:iCs/>
      <w:color w:val="272727" w:themeColor="text1" w:themeTint="D8"/>
    </w:rPr>
  </w:style>
  <w:style w:type="character" w:customStyle="1" w:styleId="Heading9Char">
    <w:name w:val="Heading 9 Char"/>
    <w:basedOn w:val="Fontepargpadro"/>
    <w:uiPriority w:val="9"/>
    <w:rPr>
      <w:rFonts w:ascii="Arial" w:eastAsia="Arial" w:hAnsi="Arial" w:cs="Arial"/>
      <w:i/>
      <w:iCs/>
      <w:color w:val="272727" w:themeColor="text1" w:themeTint="D8"/>
    </w:rPr>
  </w:style>
  <w:style w:type="character" w:customStyle="1" w:styleId="TitleChar">
    <w:name w:val="Title Char"/>
    <w:basedOn w:val="Fontepargpadro"/>
    <w:uiPriority w:val="10"/>
    <w:rPr>
      <w:rFonts w:ascii="Arial" w:eastAsia="Arial" w:hAnsi="Arial" w:cs="Arial"/>
      <w:spacing w:val="-10"/>
      <w:sz w:val="56"/>
      <w:szCs w:val="56"/>
    </w:rPr>
  </w:style>
  <w:style w:type="character" w:customStyle="1" w:styleId="SubtitleChar">
    <w:name w:val="Subtitle Char"/>
    <w:basedOn w:val="Fontepargpadro"/>
    <w:uiPriority w:val="11"/>
    <w:rPr>
      <w:color w:val="595959" w:themeColor="text1" w:themeTint="A6"/>
      <w:spacing w:val="15"/>
      <w:sz w:val="28"/>
      <w:szCs w:val="28"/>
    </w:rPr>
  </w:style>
  <w:style w:type="character" w:customStyle="1" w:styleId="QuoteChar">
    <w:name w:val="Quote Char"/>
    <w:basedOn w:val="Fontepargpadro"/>
    <w:uiPriority w:val="29"/>
    <w:rPr>
      <w:i/>
      <w:iCs/>
      <w:color w:val="404040" w:themeColor="text1" w:themeTint="BF"/>
    </w:rPr>
  </w:style>
  <w:style w:type="character" w:customStyle="1" w:styleId="IntenseQuoteChar">
    <w:name w:val="Intense Quote Char"/>
    <w:basedOn w:val="Fontepargpadro"/>
    <w:uiPriority w:val="30"/>
    <w:rPr>
      <w:i/>
      <w:iCs/>
      <w:color w:val="365F91" w:themeColor="accent1" w:themeShade="BF"/>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character" w:styleId="TextodoEspaoReservado">
    <w:name w:val="Placeholder Text"/>
    <w:basedOn w:val="Fontepargpadro"/>
    <w:uiPriority w:val="99"/>
    <w:semiHidden/>
    <w:rPr>
      <w:color w:val="666666"/>
    </w:rPr>
  </w:style>
  <w:style w:type="paragraph" w:styleId="ndicedeilustraes">
    <w:name w:val="table of figures"/>
    <w:basedOn w:val="Normal"/>
    <w:next w:val="Normal"/>
    <w:uiPriority w:val="99"/>
    <w:unhideWhenUsed/>
    <w:pPr>
      <w:spacing w:after="0"/>
    </w:pPr>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style>
  <w:style w:type="character" w:customStyle="1" w:styleId="Ttulo1Char">
    <w:name w:val="Título 1 Char"/>
    <w:basedOn w:val="Fontepargpadro"/>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har">
    <w:name w:val="Título Char"/>
    <w:basedOn w:val="Fontepargpadro"/>
    <w:link w:val="Ttulo"/>
    <w:uiPriority w:val="10"/>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pPr>
      <w:ind w:left="720"/>
      <w:contextualSpacing/>
    </w:pPr>
  </w:style>
  <w:style w:type="paragraph" w:styleId="Corpodetexto">
    <w:name w:val="Body Text"/>
    <w:basedOn w:val="Normal"/>
    <w:link w:val="CorpodetextoChar"/>
    <w:uiPriority w:val="99"/>
    <w:unhideWhenUsed/>
    <w:pPr>
      <w:spacing w:after="120"/>
    </w:pPr>
  </w:style>
  <w:style w:type="character" w:customStyle="1" w:styleId="CorpodetextoChar">
    <w:name w:val="Corpo de texto Char"/>
    <w:basedOn w:val="Fontepargpadro"/>
    <w:link w:val="Corpodetexto"/>
    <w:uiPriority w:val="99"/>
  </w:style>
  <w:style w:type="paragraph" w:styleId="Corpodetexto2">
    <w:name w:val="Body Text 2"/>
    <w:basedOn w:val="Normal"/>
    <w:link w:val="Corpodetexto2Char"/>
    <w:uiPriority w:val="99"/>
    <w:unhideWhenUsed/>
    <w:pPr>
      <w:spacing w:after="120" w:line="480" w:lineRule="auto"/>
    </w:pPr>
  </w:style>
  <w:style w:type="character" w:customStyle="1" w:styleId="Corpodetexto2Char">
    <w:name w:val="Corpo de texto 2 Char"/>
    <w:basedOn w:val="Fontepargpadro"/>
    <w:link w:val="Corpodetexto2"/>
    <w:uiPriority w:val="99"/>
  </w:style>
  <w:style w:type="paragraph" w:styleId="Corpodetexto3">
    <w:name w:val="Body Text 3"/>
    <w:basedOn w:val="Normal"/>
    <w:link w:val="Corpodetexto3Char"/>
    <w:uiPriority w:val="99"/>
    <w:unhideWhenUsed/>
    <w:pPr>
      <w:spacing w:after="120"/>
    </w:pPr>
    <w:rPr>
      <w:sz w:val="16"/>
      <w:szCs w:val="16"/>
    </w:rPr>
  </w:style>
  <w:style w:type="character" w:customStyle="1" w:styleId="Corpodetexto3Char">
    <w:name w:val="Corpo de texto 3 Char"/>
    <w:basedOn w:val="Fontepargpadro"/>
    <w:link w:val="Corpodetexto3"/>
    <w:uiPriority w:val="99"/>
    <w:rPr>
      <w:sz w:val="16"/>
      <w:szCs w:val="16"/>
    </w:rPr>
  </w:style>
  <w:style w:type="paragraph" w:styleId="Lista">
    <w:name w:val="List"/>
    <w:basedOn w:val="Normal"/>
    <w:uiPriority w:val="99"/>
    <w:unhideWhenUsed/>
    <w:pPr>
      <w:ind w:left="360" w:hanging="360"/>
      <w:contextualSpacing/>
    </w:pPr>
  </w:style>
  <w:style w:type="paragraph" w:styleId="Lista2">
    <w:name w:val="List 2"/>
    <w:basedOn w:val="Normal"/>
    <w:uiPriority w:val="99"/>
    <w:unhideWhenUsed/>
    <w:pPr>
      <w:ind w:left="720" w:hanging="360"/>
      <w:contextualSpacing/>
    </w:pPr>
  </w:style>
  <w:style w:type="paragraph" w:styleId="Lista3">
    <w:name w:val="List 3"/>
    <w:basedOn w:val="Normal"/>
    <w:uiPriority w:val="99"/>
    <w:unhideWhenUsed/>
    <w:pPr>
      <w:ind w:left="1080" w:hanging="360"/>
      <w:contextualSpacing/>
    </w:pPr>
  </w:style>
  <w:style w:type="paragraph" w:styleId="Commarcadores">
    <w:name w:val="List Bullet"/>
    <w:basedOn w:val="Normal"/>
    <w:uiPriority w:val="99"/>
    <w:unhideWhenUsed/>
    <w:pPr>
      <w:numPr>
        <w:numId w:val="1"/>
      </w:numPr>
      <w:contextualSpacing/>
    </w:pPr>
  </w:style>
  <w:style w:type="paragraph" w:styleId="Commarcadores2">
    <w:name w:val="List Bullet 2"/>
    <w:basedOn w:val="Normal"/>
    <w:uiPriority w:val="99"/>
    <w:unhideWhenUsed/>
    <w:pPr>
      <w:numPr>
        <w:numId w:val="2"/>
      </w:numPr>
      <w:contextualSpacing/>
    </w:pPr>
  </w:style>
  <w:style w:type="paragraph" w:styleId="Commarcadores3">
    <w:name w:val="List Bullet 3"/>
    <w:basedOn w:val="Normal"/>
    <w:uiPriority w:val="99"/>
    <w:unhideWhenUsed/>
    <w:pPr>
      <w:numPr>
        <w:numId w:val="3"/>
      </w:numPr>
      <w:contextualSpacing/>
    </w:pPr>
  </w:style>
  <w:style w:type="paragraph" w:styleId="Numerada">
    <w:name w:val="List Number"/>
    <w:basedOn w:val="Normal"/>
    <w:uiPriority w:val="99"/>
    <w:unhideWhenUsed/>
    <w:pPr>
      <w:numPr>
        <w:numId w:val="5"/>
      </w:numPr>
      <w:contextualSpacing/>
    </w:pPr>
  </w:style>
  <w:style w:type="paragraph" w:styleId="Numerada2">
    <w:name w:val="List Number 2"/>
    <w:basedOn w:val="Normal"/>
    <w:uiPriority w:val="99"/>
    <w:unhideWhenUsed/>
    <w:pPr>
      <w:numPr>
        <w:numId w:val="6"/>
      </w:numPr>
      <w:contextualSpacing/>
    </w:pPr>
  </w:style>
  <w:style w:type="paragraph" w:styleId="Numerada3">
    <w:name w:val="List Number 3"/>
    <w:basedOn w:val="Normal"/>
    <w:uiPriority w:val="99"/>
    <w:unhideWhenUsed/>
    <w:pPr>
      <w:numPr>
        <w:numId w:val="7"/>
      </w:numPr>
      <w:contextualSpacing/>
    </w:pPr>
  </w:style>
  <w:style w:type="paragraph" w:styleId="Listadecontinuao">
    <w:name w:val="List Continue"/>
    <w:basedOn w:val="Normal"/>
    <w:uiPriority w:val="99"/>
    <w:unhideWhenUsed/>
    <w:pPr>
      <w:spacing w:after="120"/>
      <w:ind w:left="360"/>
      <w:contextualSpacing/>
    </w:pPr>
  </w:style>
  <w:style w:type="paragraph" w:styleId="Listadecontinuao2">
    <w:name w:val="List Continue 2"/>
    <w:basedOn w:val="Normal"/>
    <w:uiPriority w:val="99"/>
    <w:unhideWhenUsed/>
    <w:pPr>
      <w:spacing w:after="120"/>
      <w:ind w:left="720"/>
      <w:contextualSpacing/>
    </w:pPr>
  </w:style>
  <w:style w:type="paragraph" w:styleId="Listadecontinuao3">
    <w:name w:val="List Continue 3"/>
    <w:basedOn w:val="Normal"/>
    <w:uiPriority w:val="99"/>
    <w:unhideWhenUsed/>
    <w:pPr>
      <w:spacing w:after="120"/>
      <w:ind w:left="1080"/>
      <w:contextualSpacing/>
    </w:pPr>
  </w:style>
  <w:style w:type="paragraph" w:styleId="Textodemacro">
    <w:name w:val="macro"/>
    <w:link w:val="Textodemacro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Pr>
      <w:rFonts w:ascii="Courier" w:hAnsi="Courier"/>
      <w:sz w:val="20"/>
      <w:szCs w:val="20"/>
    </w:rPr>
  </w:style>
  <w:style w:type="paragraph" w:styleId="Citao">
    <w:name w:val="Quote"/>
    <w:basedOn w:val="Normal"/>
    <w:next w:val="Normal"/>
    <w:link w:val="CitaoChar"/>
    <w:uiPriority w:val="29"/>
    <w:qFormat/>
    <w:rPr>
      <w:i/>
      <w:iCs/>
      <w:color w:val="000000" w:themeColor="text1"/>
    </w:rPr>
  </w:style>
  <w:style w:type="character" w:customStyle="1" w:styleId="CitaoChar">
    <w:name w:val="Citação Char"/>
    <w:basedOn w:val="Fontepargpadro"/>
    <w:link w:val="Citao"/>
    <w:uiPriority w:val="29"/>
    <w:rPr>
      <w:i/>
      <w:iCs/>
      <w:color w:val="000000" w:themeColor="text1"/>
    </w:rPr>
  </w:style>
  <w:style w:type="character" w:customStyle="1" w:styleId="Ttulo4Char">
    <w:name w:val="Título 4 Char"/>
    <w:basedOn w:val="Fontepargpadro"/>
    <w:link w:val="Ttulo4"/>
    <w:uiPriority w:val="9"/>
    <w:semiHidden/>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pPr>
      <w:spacing w:line="240" w:lineRule="auto"/>
    </w:pPr>
    <w:rPr>
      <w:b/>
      <w:bCs/>
      <w:color w:val="4F81BD" w:themeColor="accent1"/>
      <w:sz w:val="18"/>
      <w:szCs w:val="18"/>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paragraph" w:styleId="CitaoIntensa">
    <w:name w:val="Intense Quote"/>
    <w:basedOn w:val="Normal"/>
    <w:next w:val="Normal"/>
    <w:link w:val="CitaoIntensa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Pr>
      <w:b/>
      <w:bCs/>
      <w:i/>
      <w:iCs/>
      <w:color w:val="4F81BD" w:themeColor="accent1"/>
    </w:rPr>
  </w:style>
  <w:style w:type="character" w:styleId="nfaseSutil">
    <w:name w:val="Subtle Emphasis"/>
    <w:basedOn w:val="Fontepargpadro"/>
    <w:uiPriority w:val="19"/>
    <w:qFormat/>
    <w:rPr>
      <w:i/>
      <w:iCs/>
      <w:color w:val="808080" w:themeColor="text1" w:themeTint="7F"/>
    </w:rPr>
  </w:style>
  <w:style w:type="character" w:styleId="nfaseIntensa">
    <w:name w:val="Intense Emphasis"/>
    <w:basedOn w:val="Fontepargpadro"/>
    <w:uiPriority w:val="21"/>
    <w:qFormat/>
    <w:rPr>
      <w:b/>
      <w:bCs/>
      <w:i/>
      <w:iCs/>
      <w:color w:val="4F81BD" w:themeColor="accent1"/>
    </w:rPr>
  </w:style>
  <w:style w:type="character" w:styleId="RefernciaSutil">
    <w:name w:val="Subtle Reference"/>
    <w:basedOn w:val="Fontepargpadro"/>
    <w:uiPriority w:val="31"/>
    <w:qFormat/>
    <w:rPr>
      <w:smallCaps/>
      <w:color w:val="C0504D" w:themeColor="accent2"/>
      <w:u w:val="single"/>
    </w:rPr>
  </w:style>
  <w:style w:type="character" w:styleId="RefernciaIntensa">
    <w:name w:val="Intense Reference"/>
    <w:basedOn w:val="Fontepargpadro"/>
    <w:uiPriority w:val="32"/>
    <w:qFormat/>
    <w:rPr>
      <w:b/>
      <w:bCs/>
      <w:smallCaps/>
      <w:color w:val="C0504D" w:themeColor="accent2"/>
      <w:spacing w:val="5"/>
      <w:u w:val="single"/>
    </w:rPr>
  </w:style>
  <w:style w:type="character" w:styleId="TtulodoLivro">
    <w:name w:val="Book Title"/>
    <w:basedOn w:val="Fontepargpadro"/>
    <w:uiPriority w:val="33"/>
    <w:qFormat/>
    <w:rPr>
      <w:b/>
      <w:bCs/>
      <w:smallCaps/>
      <w:spacing w:val="5"/>
    </w:rPr>
  </w:style>
  <w:style w:type="paragraph" w:styleId="CabealhodoSumrio">
    <w:name w:val="TOC Heading"/>
    <w:basedOn w:val="Ttulo1"/>
    <w:next w:val="Normal"/>
    <w:uiPriority w:val="39"/>
    <w:semiHidden/>
    <w:unhideWhenUsed/>
    <w:qFormat/>
    <w:pPr>
      <w:outlineLvl w:val="9"/>
    </w:p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mentoClaro">
    <w:name w:val="Light Shading"/>
    <w:basedOn w:val="Tabela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SombreamentoClaro-nfase1">
    <w:name w:val="Light Shading Accent 1"/>
    <w:basedOn w:val="Tabela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left w:val="none" w:sz="4" w:space="0" w:color="000000"/>
          <w:right w:val="none" w:sz="4" w:space="0" w:color="000000"/>
        </w:tcBorders>
        <w:shd w:val="clear" w:color="auto" w:fill="D3DFEE" w:themeFill="accent1" w:themeFillTint="3F"/>
      </w:tcPr>
    </w:tblStylePr>
  </w:style>
  <w:style w:type="table" w:styleId="SombreamentoClaro-nfase2">
    <w:name w:val="Light Shading Accent 2"/>
    <w:basedOn w:val="Tabela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lastRow">
      <w:pPr>
        <w:spacing w:before="0" w:after="0" w:line="240" w:lineRule="auto"/>
      </w:pPr>
      <w:rPr>
        <w:b/>
        <w:bCs/>
      </w:rPr>
      <w:tblPr/>
      <w:tcPr>
        <w:tcBorders>
          <w:top w:val="single" w:sz="8" w:space="0" w:color="C0504D" w:themeColor="accent2"/>
          <w:left w:val="none" w:sz="4" w:space="0" w:color="000000"/>
          <w:bottom w:val="single" w:sz="8" w:space="0" w:color="C0504D" w:themeColor="accent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left w:val="none" w:sz="4" w:space="0" w:color="000000"/>
          <w:right w:val="none" w:sz="4" w:space="0" w:color="000000"/>
        </w:tcBorders>
        <w:shd w:val="clear" w:color="auto" w:fill="EFD3D2" w:themeFill="accent2" w:themeFillTint="3F"/>
      </w:tcPr>
    </w:tblStylePr>
  </w:style>
  <w:style w:type="table" w:styleId="SombreamentoClaro-nfase3">
    <w:name w:val="Light Shading Accent 3"/>
    <w:basedOn w:val="Tabela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lastRow">
      <w:pPr>
        <w:spacing w:before="0" w:after="0" w:line="240" w:lineRule="auto"/>
      </w:pPr>
      <w:rPr>
        <w:b/>
        <w:bCs/>
      </w:rPr>
      <w:tblPr/>
      <w:tcPr>
        <w:tcBorders>
          <w:top w:val="single" w:sz="8" w:space="0" w:color="9BBB59" w:themeColor="accent3"/>
          <w:left w:val="none" w:sz="4" w:space="0" w:color="000000"/>
          <w:bottom w:val="single" w:sz="8" w:space="0" w:color="9BBB59"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left w:val="none" w:sz="4" w:space="0" w:color="000000"/>
          <w:right w:val="none" w:sz="4" w:space="0" w:color="000000"/>
        </w:tcBorders>
        <w:shd w:val="clear" w:color="auto" w:fill="E6EED5" w:themeFill="accent3" w:themeFillTint="3F"/>
      </w:tcPr>
    </w:tblStylePr>
  </w:style>
  <w:style w:type="table" w:styleId="SombreamentoClaro-nfase4">
    <w:name w:val="Light Shading Accent 4"/>
    <w:basedOn w:val="Tabela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styleId="SombreamentoClaro-nfase5">
    <w:name w:val="Light Shading Accent 5"/>
    <w:basedOn w:val="Tabela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lastRow">
      <w:pPr>
        <w:spacing w:before="0" w:after="0" w:line="240" w:lineRule="auto"/>
      </w:pPr>
      <w:rPr>
        <w:b/>
        <w:bCs/>
      </w:rPr>
      <w:tblPr/>
      <w:tcPr>
        <w:tcBorders>
          <w:top w:val="single" w:sz="8" w:space="0" w:color="4BACC6" w:themeColor="accent5"/>
          <w:left w:val="none" w:sz="4" w:space="0" w:color="000000"/>
          <w:bottom w:val="single" w:sz="8" w:space="0" w:color="4BACC6" w:themeColor="accent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left w:val="none" w:sz="4" w:space="0" w:color="000000"/>
          <w:right w:val="none" w:sz="4" w:space="0" w:color="000000"/>
        </w:tcBorders>
        <w:shd w:val="clear" w:color="auto" w:fill="D2EAF1" w:themeFill="accent5" w:themeFillTint="3F"/>
      </w:tcPr>
    </w:tblStylePr>
  </w:style>
  <w:style w:type="table" w:styleId="SombreamentoClaro-nfase6">
    <w:name w:val="Light Shading Accent 6"/>
    <w:basedOn w:val="Tabela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lastRow">
      <w:pPr>
        <w:spacing w:before="0" w:after="0" w:line="240" w:lineRule="auto"/>
      </w:pPr>
      <w:rPr>
        <w:b/>
        <w:bCs/>
      </w:rPr>
      <w:tblPr/>
      <w:tcPr>
        <w:tcBorders>
          <w:top w:val="single" w:sz="8" w:space="0" w:color="F79646" w:themeColor="accent6"/>
          <w:left w:val="none" w:sz="4" w:space="0" w:color="000000"/>
          <w:bottom w:val="single" w:sz="8" w:space="0" w:color="F79646" w:themeColor="accent6"/>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left w:val="none" w:sz="4" w:space="0" w:color="000000"/>
          <w:right w:val="none" w:sz="4" w:space="0" w:color="000000"/>
        </w:tcBorders>
        <w:shd w:val="clear" w:color="auto" w:fill="FDE4D0" w:themeFill="accent6" w:themeFillTint="3F"/>
      </w:tcPr>
    </w:tblStylePr>
  </w:style>
  <w:style w:type="table" w:styleId="ListaClara">
    <w:name w:val="Light List"/>
    <w:basedOn w:val="Tabela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adeClara-nfase1">
    <w:name w:val="Light Grid Accent 1"/>
    <w:basedOn w:val="Tabela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adeClara-nfase2">
    <w:name w:val="Light Grid Accent 2"/>
    <w:basedOn w:val="Tabela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radeClara-nfase3">
    <w:name w:val="Light Grid Accent 3"/>
    <w:basedOn w:val="Tabela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adeClara-nfase4">
    <w:name w:val="Light Grid Accent 4"/>
    <w:basedOn w:val="Tabela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adeClara-nfase5">
    <w:name w:val="Light Grid Accent 5"/>
    <w:basedOn w:val="Tabela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adeClara-nfase6">
    <w:name w:val="Light Grid Accent 6"/>
    <w:basedOn w:val="Tabela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ombreamentoMdio1">
    <w:name w:val="Medium Shading 1"/>
    <w:basedOn w:val="Tabela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mentoMdio1-nfase1">
    <w:name w:val="Medium Shading 1 Accent 1"/>
    <w:basedOn w:val="Tabela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ombreamentoMdio1-nfase2">
    <w:name w:val="Medium Shading 1 Accent 2"/>
    <w:basedOn w:val="Tabela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C0504D" w:themeFill="accent2"/>
      </w:tcPr>
    </w:tblStylePr>
    <w:tblStylePr w:type="lastRow">
      <w:pPr>
        <w:spacing w:before="0" w:after="0" w:line="240" w:lineRule="auto"/>
      </w:pPr>
      <w:rPr>
        <w:b/>
        <w:bCs/>
      </w:rPr>
      <w:tblPr/>
      <w:tcPr>
        <w:tcBorders>
          <w:top w:val="sing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ombreamentoMdio1-nfase3">
    <w:name w:val="Medium Shading 1 Accent 3"/>
    <w:basedOn w:val="Tabela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9BBB59" w:themeFill="accent3"/>
      </w:tcPr>
    </w:tblStylePr>
    <w:tblStylePr w:type="lastRow">
      <w:pPr>
        <w:spacing w:before="0" w:after="0" w:line="240" w:lineRule="auto"/>
      </w:pPr>
      <w:rPr>
        <w:b/>
        <w:bCs/>
      </w:rPr>
      <w:tblPr/>
      <w:tcPr>
        <w:tcBorders>
          <w:top w:val="sing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Mdio1-nfase4">
    <w:name w:val="Medium Shading 1 Accent 4"/>
    <w:basedOn w:val="Tabela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8064A2" w:themeFill="accent4"/>
      </w:tcPr>
    </w:tblStylePr>
    <w:tblStylePr w:type="lastRow">
      <w:pPr>
        <w:spacing w:before="0" w:after="0" w:line="240" w:lineRule="auto"/>
      </w:pPr>
      <w:rPr>
        <w:b/>
        <w:bCs/>
      </w:rPr>
      <w:tblPr/>
      <w:tcPr>
        <w:tcBorders>
          <w:top w:val="sing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ombreamentoMdio1-nfase5">
    <w:name w:val="Medium Shading 1 Accent 5"/>
    <w:basedOn w:val="Tabela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mentoMdio1-nfase6">
    <w:name w:val="Medium Shading 1 Accent 6"/>
    <w:basedOn w:val="Tabela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79646" w:themeFill="accent6"/>
      </w:tcPr>
    </w:tblStylePr>
    <w:tblStylePr w:type="lastRow">
      <w:pPr>
        <w:spacing w:before="0" w:after="0" w:line="240" w:lineRule="auto"/>
      </w:pPr>
      <w:rPr>
        <w:b/>
        <w:bCs/>
      </w:rPr>
      <w:tblPr/>
      <w:tcPr>
        <w:tcBorders>
          <w:top w:val="sing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ombreamentoMdio2">
    <w:name w:val="Medium Shading 2"/>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tcBorders>
        <w:shd w:val="clear" w:color="auto" w:fill="000000" w:themeFill="tex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1">
    <w:name w:val="Medium Shading 2 Accent 1"/>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tcBorders>
        <w:shd w:val="clear" w:color="auto" w:fill="4F81BD" w:themeFill="accent1"/>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2">
    <w:name w:val="Medium Shading 2 Accent 2"/>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C0504D" w:themeFill="accent2"/>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C0504D" w:themeFill="accent2"/>
      </w:tcPr>
    </w:tblStylePr>
    <w:tblStylePr w:type="lastCol">
      <w:rPr>
        <w:b/>
        <w:bCs/>
        <w:color w:val="FFFFFF" w:themeColor="background1"/>
      </w:rPr>
      <w:tblPr/>
      <w:tcPr>
        <w:tcBorders>
          <w:left w:val="none" w:sz="4" w:space="0" w:color="000000"/>
          <w:right w:val="none" w:sz="4" w:space="0" w:color="000000"/>
        </w:tcBorders>
        <w:shd w:val="clear" w:color="auto" w:fill="C0504D" w:themeFill="accent2"/>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3">
    <w:name w:val="Medium Shading 2 Accent 3"/>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9BBB59" w:themeFill="accent3"/>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9BBB59" w:themeFill="accent3"/>
      </w:tcPr>
    </w:tblStylePr>
    <w:tblStylePr w:type="lastCol">
      <w:rPr>
        <w:b/>
        <w:bCs/>
        <w:color w:val="FFFFFF" w:themeColor="background1"/>
      </w:rPr>
      <w:tblPr/>
      <w:tcPr>
        <w:tcBorders>
          <w:left w:val="none" w:sz="4" w:space="0" w:color="000000"/>
          <w:right w:val="none" w:sz="4" w:space="0" w:color="000000"/>
        </w:tcBorders>
        <w:shd w:val="clear" w:color="auto" w:fill="9BBB59" w:themeFill="accent3"/>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4">
    <w:name w:val="Medium Shading 2 Accent 4"/>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8064A2" w:themeFill="accent4"/>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8064A2" w:themeFill="accent4"/>
      </w:tcPr>
    </w:tblStylePr>
    <w:tblStylePr w:type="lastCol">
      <w:rPr>
        <w:b/>
        <w:bCs/>
        <w:color w:val="FFFFFF" w:themeColor="background1"/>
      </w:rPr>
      <w:tblPr/>
      <w:tcPr>
        <w:tcBorders>
          <w:left w:val="none" w:sz="4" w:space="0" w:color="000000"/>
          <w:right w:val="none" w:sz="4" w:space="0" w:color="000000"/>
        </w:tcBorders>
        <w:shd w:val="clear" w:color="auto" w:fill="8064A2" w:themeFill="accent4"/>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5">
    <w:name w:val="Medium Shading 2 Accent 5"/>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4BACC6" w:themeFill="accent5"/>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4BACC6" w:themeFill="accent5"/>
      </w:tcPr>
    </w:tblStylePr>
    <w:tblStylePr w:type="lastCol">
      <w:rPr>
        <w:b/>
        <w:bCs/>
        <w:color w:val="FFFFFF" w:themeColor="background1"/>
      </w:rPr>
      <w:tblPr/>
      <w:tcPr>
        <w:tcBorders>
          <w:left w:val="none" w:sz="4" w:space="0" w:color="000000"/>
          <w:right w:val="none" w:sz="4" w:space="0" w:color="000000"/>
        </w:tcBorders>
        <w:shd w:val="clear" w:color="auto" w:fill="4BACC6" w:themeFill="accent5"/>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SombreamentoMdio2-nfase6">
    <w:name w:val="Medium Shading 2 Accent 6"/>
    <w:basedOn w:val="Tabelanormal"/>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000000"/>
          <w:left w:val="none" w:sz="4" w:space="0" w:color="000000"/>
          <w:bottom w:val="single" w:sz="18" w:space="0" w:color="000000"/>
          <w:right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000000"/>
          <w:left w:val="none" w:sz="4" w:space="0" w:color="000000"/>
          <w:bottom w:val="single" w:sz="18" w:space="0" w:color="000000"/>
          <w:right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000000"/>
          <w:right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tcBorders>
        <w:shd w:val="clear" w:color="auto" w:fill="F79646" w:themeFill="accent6"/>
      </w:tcPr>
    </w:tblStylePr>
    <w:tblStylePr w:type="band1Vert">
      <w:tblPr/>
      <w:tcPr>
        <w:tcBorders>
          <w:left w:val="none" w:sz="4" w:space="0" w:color="000000"/>
          <w:right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000000"/>
          <w:left w:val="none" w:sz="4" w:space="0" w:color="000000"/>
          <w:bottom w:val="single" w:sz="18" w:space="0" w:color="000000"/>
          <w:right w:val="none" w:sz="4" w:space="0" w:color="000000"/>
        </w:tcBorders>
      </w:tcPr>
    </w:tblStylePr>
    <w:tblStylePr w:type="nwCell">
      <w:rPr>
        <w:color w:val="FFFFFF" w:themeColor="background1"/>
      </w:rPr>
      <w:tblPr/>
      <w:tcPr>
        <w:tcBorders>
          <w:top w:val="single" w:sz="18" w:space="0" w:color="000000"/>
          <w:left w:val="none" w:sz="4" w:space="0" w:color="000000"/>
          <w:bottom w:val="single" w:sz="18" w:space="0" w:color="000000"/>
          <w:right w:val="none" w:sz="4" w:space="0" w:color="000000"/>
        </w:tcBorders>
      </w:tcPr>
    </w:tblStylePr>
  </w:style>
  <w:style w:type="table" w:styleId="ListaMdia1">
    <w:name w:val="Medium List 1"/>
    <w:basedOn w:val="Tabela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one" w:sz="4" w:space="0" w:color="000000"/>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one" w:sz="4" w:space="0" w:color="000000"/>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one" w:sz="4" w:space="0" w:color="000000"/>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top w:val="none" w:sz="4" w:space="0" w:color="000000"/>
          <w:bottom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1">
    <w:name w:val="Medium List 2 Accent 1"/>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one" w:sz="4" w:space="0" w:color="000000"/>
          <w:left w:val="none" w:sz="4" w:space="0" w:color="000000"/>
          <w:bottom w:val="single" w:sz="24" w:space="0" w:color="4F81BD" w:themeColor="accent1"/>
          <w:right w:val="none" w:sz="4" w:space="0" w:color="000000"/>
        </w:tcBorders>
        <w:shd w:val="clear" w:color="auto" w:fill="FFFFFF" w:themeFill="background1"/>
      </w:tcPr>
    </w:tblStylePr>
    <w:tblStylePr w:type="lastRow">
      <w:tblPr/>
      <w:tcPr>
        <w:tcBorders>
          <w:top w:val="single" w:sz="8" w:space="0" w:color="4F81BD" w:themeColor="accent1"/>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F81BD" w:themeColor="accent1"/>
        </w:tcBorders>
        <w:shd w:val="clear" w:color="auto" w:fill="FFFFFF" w:themeFill="background1"/>
      </w:tcPr>
    </w:tblStylePr>
    <w:tblStylePr w:type="lastCol">
      <w:tblPr/>
      <w:tcPr>
        <w:tcBorders>
          <w:top w:val="none" w:sz="4" w:space="0" w:color="000000"/>
          <w:left w:val="single" w:sz="8" w:space="0" w:color="4F81BD" w:themeColor="accent1"/>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3DFEE" w:themeFill="accent1" w:themeFillTint="3F"/>
      </w:tcPr>
    </w:tblStylePr>
    <w:tblStylePr w:type="band1Horz">
      <w:tblPr/>
      <w:tcPr>
        <w:tcBorders>
          <w:top w:val="none" w:sz="4" w:space="0" w:color="000000"/>
          <w:bottom w:val="none" w:sz="4" w:space="0" w:color="000000"/>
        </w:tcBorders>
        <w:shd w:val="clear" w:color="auto" w:fill="D3DFEE" w:themeFill="accen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2">
    <w:name w:val="Medium List 2 Accent 2"/>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tblPr/>
      <w:tcPr>
        <w:tcBorders>
          <w:top w:val="single" w:sz="8" w:space="0" w:color="C0504D" w:themeColor="accent2"/>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C0504D" w:themeColor="accent2"/>
        </w:tcBorders>
        <w:shd w:val="clear" w:color="auto" w:fill="FFFFFF" w:themeFill="background1"/>
      </w:tcPr>
    </w:tblStylePr>
    <w:tblStylePr w:type="lastCol">
      <w:tblPr/>
      <w:tcPr>
        <w:tcBorders>
          <w:top w:val="none" w:sz="4" w:space="0" w:color="000000"/>
          <w:left w:val="single" w:sz="8" w:space="0" w:color="C0504D" w:themeColor="accent2"/>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FD3D2" w:themeFill="accent2" w:themeFillTint="3F"/>
      </w:tcPr>
    </w:tblStylePr>
    <w:tblStylePr w:type="band1Horz">
      <w:tblPr/>
      <w:tcPr>
        <w:tcBorders>
          <w:top w:val="none" w:sz="4" w:space="0" w:color="000000"/>
          <w:bottom w:val="none" w:sz="4" w:space="0" w:color="000000"/>
        </w:tcBorders>
        <w:shd w:val="clear" w:color="auto" w:fill="EFD3D2" w:themeFill="accent2"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3">
    <w:name w:val="Medium List 2 Accent 3"/>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tblPr/>
      <w:tcPr>
        <w:tcBorders>
          <w:top w:val="single" w:sz="8" w:space="0" w:color="9BBB59" w:themeColor="accent3"/>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9BBB59" w:themeColor="accent3"/>
        </w:tcBorders>
        <w:shd w:val="clear" w:color="auto" w:fill="FFFFFF" w:themeFill="background1"/>
      </w:tcPr>
    </w:tblStylePr>
    <w:tblStylePr w:type="lastCol">
      <w:tblPr/>
      <w:tcPr>
        <w:tcBorders>
          <w:top w:val="none" w:sz="4" w:space="0" w:color="000000"/>
          <w:left w:val="single" w:sz="8" w:space="0" w:color="9BBB59" w:themeColor="accent3"/>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E6EED5" w:themeFill="accent3" w:themeFillTint="3F"/>
      </w:tcPr>
    </w:tblStylePr>
    <w:tblStylePr w:type="band1Horz">
      <w:tblPr/>
      <w:tcPr>
        <w:tcBorders>
          <w:top w:val="none" w:sz="4" w:space="0" w:color="000000"/>
          <w:bottom w:val="none" w:sz="4" w:space="0" w:color="000000"/>
        </w:tcBorders>
        <w:shd w:val="clear" w:color="auto" w:fill="E6EED5" w:themeFill="accent3"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4">
    <w:name w:val="Medium List 2 Accent 4"/>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tblPr/>
      <w:tcPr>
        <w:tcBorders>
          <w:top w:val="single" w:sz="8" w:space="0" w:color="8064A2" w:themeColor="accent4"/>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8064A2" w:themeColor="accent4"/>
        </w:tcBorders>
        <w:shd w:val="clear" w:color="auto" w:fill="FFFFFF" w:themeFill="background1"/>
      </w:tcPr>
    </w:tblStylePr>
    <w:tblStylePr w:type="lastCol">
      <w:tblPr/>
      <w:tcPr>
        <w:tcBorders>
          <w:top w:val="none" w:sz="4" w:space="0" w:color="000000"/>
          <w:left w:val="single" w:sz="8" w:space="0" w:color="8064A2" w:themeColor="accent4"/>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top w:val="none" w:sz="4" w:space="0" w:color="000000"/>
          <w:bottom w:val="none" w:sz="4" w:space="0" w:color="000000"/>
        </w:tcBorders>
        <w:shd w:val="clear" w:color="auto" w:fill="DFD8E8" w:themeFill="accent4"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5">
    <w:name w:val="Medium List 2 Accent 5"/>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tblPr/>
      <w:tcPr>
        <w:tcBorders>
          <w:top w:val="single" w:sz="8" w:space="0" w:color="4BACC6" w:themeColor="accent5"/>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4BACC6" w:themeColor="accent5"/>
        </w:tcBorders>
        <w:shd w:val="clear" w:color="auto" w:fill="FFFFFF" w:themeFill="background1"/>
      </w:tcPr>
    </w:tblStylePr>
    <w:tblStylePr w:type="lastCol">
      <w:tblPr/>
      <w:tcPr>
        <w:tcBorders>
          <w:top w:val="none" w:sz="4" w:space="0" w:color="000000"/>
          <w:left w:val="single" w:sz="8" w:space="0" w:color="4BACC6" w:themeColor="accent5"/>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D2EAF1" w:themeFill="accent5" w:themeFillTint="3F"/>
      </w:tcPr>
    </w:tblStylePr>
    <w:tblStylePr w:type="band1Horz">
      <w:tblPr/>
      <w:tcPr>
        <w:tcBorders>
          <w:top w:val="none" w:sz="4" w:space="0" w:color="000000"/>
          <w:bottom w:val="none" w:sz="4" w:space="0" w:color="000000"/>
        </w:tcBorders>
        <w:shd w:val="clear" w:color="auto" w:fill="D2EAF1" w:themeFill="accent5"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ListaMdia2-nfase6">
    <w:name w:val="Medium List 2 Accent 6"/>
    <w:basedOn w:val="Tabela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tblPr/>
      <w:tcPr>
        <w:tcBorders>
          <w:top w:val="single" w:sz="8" w:space="0" w:color="F79646" w:themeColor="accent6"/>
          <w:left w:val="none" w:sz="4" w:space="0" w:color="000000"/>
          <w:bottom w:val="none" w:sz="4" w:space="0" w:color="000000"/>
          <w:right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F79646" w:themeColor="accent6"/>
        </w:tcBorders>
        <w:shd w:val="clear" w:color="auto" w:fill="FFFFFF" w:themeFill="background1"/>
      </w:tcPr>
    </w:tblStylePr>
    <w:tblStylePr w:type="lastCol">
      <w:tblPr/>
      <w:tcPr>
        <w:tcBorders>
          <w:top w:val="none" w:sz="4" w:space="0" w:color="000000"/>
          <w:left w:val="single" w:sz="8" w:space="0" w:color="F79646" w:themeColor="accent6"/>
          <w:bottom w:val="none" w:sz="4" w:space="0" w:color="000000"/>
          <w:right w:val="none" w:sz="4" w:space="0" w:color="000000"/>
        </w:tcBorders>
        <w:shd w:val="clear" w:color="auto" w:fill="FFFFFF" w:themeFill="background1"/>
      </w:tcPr>
    </w:tblStylePr>
    <w:tblStylePr w:type="band1Vert">
      <w:tblPr/>
      <w:tcPr>
        <w:tcBorders>
          <w:left w:val="none" w:sz="4" w:space="0" w:color="000000"/>
          <w:right w:val="none" w:sz="4" w:space="0" w:color="000000"/>
        </w:tcBorders>
        <w:shd w:val="clear" w:color="auto" w:fill="FDE4D0" w:themeFill="accent6" w:themeFillTint="3F"/>
      </w:tcPr>
    </w:tblStylePr>
    <w:tblStylePr w:type="band1Horz">
      <w:tblPr/>
      <w:tcPr>
        <w:tcBorders>
          <w:top w:val="none" w:sz="4" w:space="0" w:color="000000"/>
          <w:bottom w:val="none" w:sz="4" w:space="0" w:color="000000"/>
        </w:tcBorders>
        <w:shd w:val="clear" w:color="auto" w:fill="FDE4D0" w:themeFill="accent6"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GradeMdia1">
    <w:name w:val="Medium Grid 1"/>
    <w:basedOn w:val="Tabela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BE5F1" w:themeFill="accent1" w:themeFillTint="33"/>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2DBDB" w:themeFill="accent2" w:themeFillTint="33"/>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AF1DD" w:themeFill="accent3" w:themeFillTint="33"/>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E5DFEC" w:themeFill="accent4" w:themeFillTint="33"/>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DAEEF3" w:themeFill="accent5" w:themeFillTint="33"/>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tcBorders>
        <w:shd w:val="clear" w:color="auto" w:fill="FDE9D9" w:themeFill="accent6" w:themeFillTint="33"/>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F81BD" w:themeFill="accen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C0504D" w:themeFill="accent2"/>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9BBB59" w:themeFill="accent3"/>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8064A2" w:themeFill="accent4"/>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4BACC6" w:themeFill="accent5"/>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tcBorders>
        <w:shd w:val="clear" w:color="auto" w:fill="F79646" w:themeFill="accent6"/>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CAA2" w:themeFill="accent6" w:themeFillTint="7F"/>
      </w:tcPr>
    </w:tblStylePr>
  </w:style>
  <w:style w:type="table" w:styleId="ListaEscura">
    <w:name w:val="Dark List"/>
    <w:basedOn w:val="Tabela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style>
  <w:style w:type="table" w:styleId="ListaEscura-nfase1">
    <w:name w:val="Dark List Accent 1"/>
    <w:basedOn w:val="Tabela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43F60" w:themeFill="accen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65F91" w:themeFill="accen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65F91" w:themeFill="accent1"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65F91" w:themeFill="accent1" w:themeFillShade="BF"/>
      </w:tcPr>
    </w:tblStylePr>
  </w:style>
  <w:style w:type="table" w:styleId="ListaEscura-nfase2">
    <w:name w:val="Dark List Accent 2"/>
    <w:basedOn w:val="Tabela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622423" w:themeFill="accent2"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943634" w:themeFill="accent2"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943634" w:themeFill="accent2"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943634" w:themeFill="accent2" w:themeFillShade="BF"/>
      </w:tcPr>
    </w:tblStylePr>
  </w:style>
  <w:style w:type="table" w:styleId="ListaEscura-nfase3">
    <w:name w:val="Dark List Accent 3"/>
    <w:basedOn w:val="Tabela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4E6128" w:themeFill="accent3"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76923C" w:themeFill="accent3"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76923C" w:themeFill="accent3"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76923C" w:themeFill="accent3" w:themeFillShade="BF"/>
      </w:tcPr>
    </w:tblStylePr>
  </w:style>
  <w:style w:type="table" w:styleId="ListaEscura-nfase4">
    <w:name w:val="Dark List Accent 4"/>
    <w:basedOn w:val="Tabela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3F3151" w:themeFill="accent4"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5F497A" w:themeFill="accent4"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5F497A" w:themeFill="accent4"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5F497A" w:themeFill="accent4" w:themeFillShade="BF"/>
      </w:tcPr>
    </w:tblStylePr>
  </w:style>
  <w:style w:type="table" w:styleId="ListaEscura-nfase5">
    <w:name w:val="Dark List Accent 5"/>
    <w:basedOn w:val="Tabela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205867" w:themeFill="accent5"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31849B" w:themeFill="accent5"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31849B" w:themeFill="accent5"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31849B" w:themeFill="accent5" w:themeFillShade="BF"/>
      </w:tcPr>
    </w:tblStylePr>
  </w:style>
  <w:style w:type="table" w:styleId="ListaEscura-nfase6">
    <w:name w:val="Dark List Accent 6"/>
    <w:basedOn w:val="Tabela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one" w:sz="4" w:space="0" w:color="000000"/>
          <w:left w:val="none" w:sz="4" w:space="0" w:color="000000"/>
          <w:bottom w:val="single" w:sz="18" w:space="0" w:color="FFFFFF" w:themeColor="background1"/>
          <w:right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tcBorders>
        <w:shd w:val="clear" w:color="auto" w:fill="974706" w:themeFill="accent6"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tcBorders>
        <w:shd w:val="clear" w:color="auto" w:fill="E36C0A" w:themeFill="accent6" w:themeFillShade="BF"/>
      </w:tcPr>
    </w:tblStylePr>
    <w:tblStylePr w:type="lastCol">
      <w:tblPr/>
      <w:tcPr>
        <w:tcBorders>
          <w:top w:val="none" w:sz="4" w:space="0" w:color="000000"/>
          <w:left w:val="single" w:sz="18" w:space="0" w:color="FFFFFF" w:themeColor="background1"/>
          <w:bottom w:val="none" w:sz="4" w:space="0" w:color="000000"/>
          <w:right w:val="none" w:sz="4" w:space="0" w:color="000000"/>
        </w:tcBorders>
        <w:shd w:val="clear" w:color="auto" w:fill="E36C0A" w:themeFill="accent6" w:themeFillShade="BF"/>
      </w:tcPr>
    </w:tblStylePr>
    <w:tblStylePr w:type="band1Vert">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tblStylePr w:type="band1Horz">
      <w:tblPr/>
      <w:tcPr>
        <w:tcBorders>
          <w:top w:val="none" w:sz="4" w:space="0" w:color="000000"/>
          <w:left w:val="none" w:sz="4" w:space="0" w:color="000000"/>
          <w:bottom w:val="none" w:sz="4" w:space="0" w:color="000000"/>
          <w:right w:val="none" w:sz="4" w:space="0" w:color="000000"/>
        </w:tcBorders>
        <w:shd w:val="clear" w:color="auto" w:fill="E36C0A" w:themeFill="accent6" w:themeFillShade="BF"/>
      </w:tcPr>
    </w:tblStylePr>
  </w:style>
  <w:style w:type="table" w:styleId="SombreamentoColorido">
    <w:name w:val="Colorful Shading"/>
    <w:basedOn w:val="Tabela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one" w:sz="4" w:space="0" w:color="000000"/>
          <w:left w:val="none" w:sz="4" w:space="0" w:color="000000"/>
          <w:bottom w:val="single" w:sz="24" w:space="0" w:color="8064A2" w:themeColor="accent4"/>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one" w:sz="4" w:space="0" w:color="000000"/>
          <w:left w:val="none" w:sz="4" w:space="0" w:color="000000"/>
          <w:bottom w:val="single" w:sz="24" w:space="0" w:color="9BBB59" w:themeColor="accent3"/>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one" w:sz="4" w:space="0" w:color="000000"/>
          <w:left w:val="none" w:sz="4" w:space="0" w:color="000000"/>
          <w:bottom w:val="single" w:sz="24" w:space="0" w:color="F79646" w:themeColor="accent6"/>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one" w:sz="4" w:space="0" w:color="000000"/>
          <w:left w:val="none" w:sz="4" w:space="0" w:color="000000"/>
          <w:bottom w:val="single" w:sz="24" w:space="0" w:color="4BACC6" w:themeColor="accent5"/>
          <w:right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170" Type="http://schemas.openxmlformats.org/officeDocument/2006/relationships/footer" Target="footer81.xml"/><Relationship Id="rId226" Type="http://schemas.openxmlformats.org/officeDocument/2006/relationships/footer" Target="footer109.xml"/><Relationship Id="rId268" Type="http://schemas.openxmlformats.org/officeDocument/2006/relationships/footer" Target="footer130.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279" Type="http://schemas.openxmlformats.org/officeDocument/2006/relationships/header" Target="header136.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248" Type="http://schemas.openxmlformats.org/officeDocument/2006/relationships/footer" Target="footer120.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fontTable" Target="fontTable.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259" Type="http://schemas.openxmlformats.org/officeDocument/2006/relationships/header" Target="header126.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172" Type="http://schemas.openxmlformats.org/officeDocument/2006/relationships/footer" Target="footer82.xml"/><Relationship Id="rId228" Type="http://schemas.openxmlformats.org/officeDocument/2006/relationships/footer" Target="footer110.xml"/><Relationship Id="rId281" Type="http://schemas.openxmlformats.org/officeDocument/2006/relationships/header" Target="header137.xml"/><Relationship Id="rId337" Type="http://schemas.openxmlformats.org/officeDocument/2006/relationships/header" Target="header16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261" Type="http://schemas.openxmlformats.org/officeDocument/2006/relationships/header" Target="header127.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230" Type="http://schemas.openxmlformats.org/officeDocument/2006/relationships/footer" Target="footer111.xml"/><Relationship Id="rId25" Type="http://schemas.openxmlformats.org/officeDocument/2006/relationships/header" Target="header9.xml"/><Relationship Id="rId46" Type="http://schemas.openxmlformats.org/officeDocument/2006/relationships/footer" Target="footer19.xml"/><Relationship Id="rId67" Type="http://schemas.openxmlformats.org/officeDocument/2006/relationships/header" Target="header30.xml"/><Relationship Id="rId272" Type="http://schemas.openxmlformats.org/officeDocument/2006/relationships/footer" Target="footer132.xml"/><Relationship Id="rId293" Type="http://schemas.openxmlformats.org/officeDocument/2006/relationships/header" Target="header143.xml"/><Relationship Id="rId307" Type="http://schemas.openxmlformats.org/officeDocument/2006/relationships/header" Target="header150.xml"/><Relationship Id="rId328" Type="http://schemas.openxmlformats.org/officeDocument/2006/relationships/footer" Target="footer16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32" Type="http://schemas.openxmlformats.org/officeDocument/2006/relationships/footer" Target="footer62.xml"/><Relationship Id="rId153" Type="http://schemas.openxmlformats.org/officeDocument/2006/relationships/header" Target="header73.xml"/><Relationship Id="rId174" Type="http://schemas.openxmlformats.org/officeDocument/2006/relationships/footer" Target="footer83.xml"/><Relationship Id="rId195" Type="http://schemas.openxmlformats.org/officeDocument/2006/relationships/header" Target="header94.xml"/><Relationship Id="rId209" Type="http://schemas.openxmlformats.org/officeDocument/2006/relationships/header" Target="header101.xml"/><Relationship Id="rId220" Type="http://schemas.openxmlformats.org/officeDocument/2006/relationships/footer" Target="footer106.xml"/><Relationship Id="rId241" Type="http://schemas.openxmlformats.org/officeDocument/2006/relationships/header" Target="header117.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262" Type="http://schemas.openxmlformats.org/officeDocument/2006/relationships/footer" Target="footer127.xml"/><Relationship Id="rId283" Type="http://schemas.openxmlformats.org/officeDocument/2006/relationships/header" Target="header138.xml"/><Relationship Id="rId318" Type="http://schemas.openxmlformats.org/officeDocument/2006/relationships/footer" Target="footer155.xml"/><Relationship Id="rId339" Type="http://schemas.openxmlformats.org/officeDocument/2006/relationships/header" Target="header166.xml"/><Relationship Id="rId78" Type="http://schemas.openxmlformats.org/officeDocument/2006/relationships/footer" Target="footer35.xml"/><Relationship Id="rId99" Type="http://schemas.openxmlformats.org/officeDocument/2006/relationships/header" Target="header46.xml"/><Relationship Id="rId101" Type="http://schemas.openxmlformats.org/officeDocument/2006/relationships/header" Target="header47.xml"/><Relationship Id="rId122" Type="http://schemas.openxmlformats.org/officeDocument/2006/relationships/footer" Target="footer57.xml"/><Relationship Id="rId143" Type="http://schemas.openxmlformats.org/officeDocument/2006/relationships/header" Target="header68.xml"/><Relationship Id="rId164" Type="http://schemas.openxmlformats.org/officeDocument/2006/relationships/footer" Target="footer78.xml"/><Relationship Id="rId185" Type="http://schemas.openxmlformats.org/officeDocument/2006/relationships/header" Target="header89.xml"/><Relationship Id="rId350" Type="http://schemas.openxmlformats.org/officeDocument/2006/relationships/footer" Target="footer171.xml"/><Relationship Id="rId9" Type="http://schemas.openxmlformats.org/officeDocument/2006/relationships/header" Target="header1.xml"/><Relationship Id="rId210" Type="http://schemas.openxmlformats.org/officeDocument/2006/relationships/footer" Target="footer101.xml"/><Relationship Id="rId26" Type="http://schemas.openxmlformats.org/officeDocument/2006/relationships/footer" Target="footer9.xml"/><Relationship Id="rId231" Type="http://schemas.openxmlformats.org/officeDocument/2006/relationships/header" Target="header112.xml"/><Relationship Id="rId252" Type="http://schemas.openxmlformats.org/officeDocument/2006/relationships/footer" Target="footer122.xml"/><Relationship Id="rId273" Type="http://schemas.openxmlformats.org/officeDocument/2006/relationships/header" Target="header133.xml"/><Relationship Id="rId294" Type="http://schemas.openxmlformats.org/officeDocument/2006/relationships/footer" Target="footer143.xml"/><Relationship Id="rId308" Type="http://schemas.openxmlformats.org/officeDocument/2006/relationships/footer" Target="footer150.xml"/><Relationship Id="rId329" Type="http://schemas.openxmlformats.org/officeDocument/2006/relationships/header" Target="header161.xml"/><Relationship Id="rId47" Type="http://schemas.openxmlformats.org/officeDocument/2006/relationships/header" Target="header20.xml"/><Relationship Id="rId68" Type="http://schemas.openxmlformats.org/officeDocument/2006/relationships/footer" Target="footer30.xml"/><Relationship Id="rId89" Type="http://schemas.openxmlformats.org/officeDocument/2006/relationships/header" Target="header41.xml"/><Relationship Id="rId112" Type="http://schemas.openxmlformats.org/officeDocument/2006/relationships/footer" Target="footer52.xml"/><Relationship Id="rId133" Type="http://schemas.openxmlformats.org/officeDocument/2006/relationships/header" Target="header63.xml"/><Relationship Id="rId154" Type="http://schemas.openxmlformats.org/officeDocument/2006/relationships/footer" Target="footer73.xml"/><Relationship Id="rId175" Type="http://schemas.openxmlformats.org/officeDocument/2006/relationships/header" Target="header84.xml"/><Relationship Id="rId340" Type="http://schemas.openxmlformats.org/officeDocument/2006/relationships/footer" Target="footer166.xml"/><Relationship Id="rId196" Type="http://schemas.openxmlformats.org/officeDocument/2006/relationships/footer" Target="footer94.xml"/><Relationship Id="rId200" Type="http://schemas.openxmlformats.org/officeDocument/2006/relationships/footer" Target="footer96.xml"/><Relationship Id="rId16" Type="http://schemas.openxmlformats.org/officeDocument/2006/relationships/footer" Target="footer4.xml"/><Relationship Id="rId221" Type="http://schemas.openxmlformats.org/officeDocument/2006/relationships/header" Target="header107.xml"/><Relationship Id="rId242" Type="http://schemas.openxmlformats.org/officeDocument/2006/relationships/footer" Target="footer117.xml"/><Relationship Id="rId263" Type="http://schemas.openxmlformats.org/officeDocument/2006/relationships/header" Target="header128.xml"/><Relationship Id="rId284" Type="http://schemas.openxmlformats.org/officeDocument/2006/relationships/footer" Target="footer138.xml"/><Relationship Id="rId319" Type="http://schemas.openxmlformats.org/officeDocument/2006/relationships/header" Target="header156.xml"/><Relationship Id="rId37" Type="http://schemas.openxmlformats.org/officeDocument/2006/relationships/header" Target="header15.xml"/><Relationship Id="rId58" Type="http://schemas.openxmlformats.org/officeDocument/2006/relationships/footer" Target="footer25.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44" Type="http://schemas.openxmlformats.org/officeDocument/2006/relationships/footer" Target="footer68.xml"/><Relationship Id="rId330" Type="http://schemas.openxmlformats.org/officeDocument/2006/relationships/footer" Target="footer161.xml"/><Relationship Id="rId90" Type="http://schemas.openxmlformats.org/officeDocument/2006/relationships/footer" Target="footer41.xml"/><Relationship Id="rId165" Type="http://schemas.openxmlformats.org/officeDocument/2006/relationships/header" Target="header79.xml"/><Relationship Id="rId186" Type="http://schemas.openxmlformats.org/officeDocument/2006/relationships/footer" Target="footer89.xml"/><Relationship Id="rId351" Type="http://schemas.openxmlformats.org/officeDocument/2006/relationships/header" Target="header172.xml"/><Relationship Id="rId211" Type="http://schemas.openxmlformats.org/officeDocument/2006/relationships/header" Target="header102.xml"/><Relationship Id="rId232" Type="http://schemas.openxmlformats.org/officeDocument/2006/relationships/footer" Target="footer112.xml"/><Relationship Id="rId253" Type="http://schemas.openxmlformats.org/officeDocument/2006/relationships/header" Target="header123.xml"/><Relationship Id="rId274" Type="http://schemas.openxmlformats.org/officeDocument/2006/relationships/footer" Target="footer133.xml"/><Relationship Id="rId295" Type="http://schemas.openxmlformats.org/officeDocument/2006/relationships/header" Target="header144.xml"/><Relationship Id="rId309" Type="http://schemas.openxmlformats.org/officeDocument/2006/relationships/header" Target="header151.xml"/><Relationship Id="rId27" Type="http://schemas.openxmlformats.org/officeDocument/2006/relationships/header" Target="header10.xml"/><Relationship Id="rId48" Type="http://schemas.openxmlformats.org/officeDocument/2006/relationships/footer" Target="footer20.xml"/><Relationship Id="rId69" Type="http://schemas.openxmlformats.org/officeDocument/2006/relationships/header" Target="header31.xml"/><Relationship Id="rId113" Type="http://schemas.openxmlformats.org/officeDocument/2006/relationships/header" Target="header53.xml"/><Relationship Id="rId134" Type="http://schemas.openxmlformats.org/officeDocument/2006/relationships/footer" Target="footer63.xml"/><Relationship Id="rId320" Type="http://schemas.openxmlformats.org/officeDocument/2006/relationships/footer" Target="footer156.xml"/><Relationship Id="rId80" Type="http://schemas.openxmlformats.org/officeDocument/2006/relationships/footer" Target="footer36.xml"/><Relationship Id="rId155" Type="http://schemas.openxmlformats.org/officeDocument/2006/relationships/header" Target="header74.xml"/><Relationship Id="rId176" Type="http://schemas.openxmlformats.org/officeDocument/2006/relationships/footer" Target="footer84.xml"/><Relationship Id="rId197" Type="http://schemas.openxmlformats.org/officeDocument/2006/relationships/header" Target="header95.xml"/><Relationship Id="rId341" Type="http://schemas.openxmlformats.org/officeDocument/2006/relationships/header" Target="header167.xml"/><Relationship Id="rId201" Type="http://schemas.openxmlformats.org/officeDocument/2006/relationships/header" Target="header97.xml"/><Relationship Id="rId222" Type="http://schemas.openxmlformats.org/officeDocument/2006/relationships/footer" Target="footer107.xml"/><Relationship Id="rId243" Type="http://schemas.openxmlformats.org/officeDocument/2006/relationships/header" Target="header118.xml"/><Relationship Id="rId264" Type="http://schemas.openxmlformats.org/officeDocument/2006/relationships/footer" Target="footer128.xml"/><Relationship Id="rId285" Type="http://schemas.openxmlformats.org/officeDocument/2006/relationships/header" Target="header139.xml"/><Relationship Id="rId17" Type="http://schemas.openxmlformats.org/officeDocument/2006/relationships/header" Target="header5.xml"/><Relationship Id="rId38" Type="http://schemas.openxmlformats.org/officeDocument/2006/relationships/footer" Target="footer15.xml"/><Relationship Id="rId59" Type="http://schemas.openxmlformats.org/officeDocument/2006/relationships/header" Target="header26.xml"/><Relationship Id="rId103" Type="http://schemas.openxmlformats.org/officeDocument/2006/relationships/header" Target="header48.xml"/><Relationship Id="rId124" Type="http://schemas.openxmlformats.org/officeDocument/2006/relationships/footer" Target="footer58.xml"/><Relationship Id="rId310" Type="http://schemas.openxmlformats.org/officeDocument/2006/relationships/footer" Target="footer151.xml"/><Relationship Id="rId70" Type="http://schemas.openxmlformats.org/officeDocument/2006/relationships/footer" Target="footer31.xml"/><Relationship Id="rId91" Type="http://schemas.openxmlformats.org/officeDocument/2006/relationships/header" Target="header42.xml"/><Relationship Id="rId145" Type="http://schemas.openxmlformats.org/officeDocument/2006/relationships/header" Target="header69.xml"/><Relationship Id="rId166" Type="http://schemas.openxmlformats.org/officeDocument/2006/relationships/footer" Target="footer79.xml"/><Relationship Id="rId187" Type="http://schemas.openxmlformats.org/officeDocument/2006/relationships/header" Target="header90.xml"/><Relationship Id="rId331" Type="http://schemas.openxmlformats.org/officeDocument/2006/relationships/header" Target="header162.xml"/><Relationship Id="rId352" Type="http://schemas.openxmlformats.org/officeDocument/2006/relationships/footer" Target="footer172.xml"/><Relationship Id="rId1" Type="http://schemas.openxmlformats.org/officeDocument/2006/relationships/customXml" Target="../customXml/item1.xml"/><Relationship Id="rId212" Type="http://schemas.openxmlformats.org/officeDocument/2006/relationships/footer" Target="footer102.xml"/><Relationship Id="rId233" Type="http://schemas.openxmlformats.org/officeDocument/2006/relationships/header" Target="header113.xml"/><Relationship Id="rId254" Type="http://schemas.openxmlformats.org/officeDocument/2006/relationships/footer" Target="footer123.xml"/><Relationship Id="rId28" Type="http://schemas.openxmlformats.org/officeDocument/2006/relationships/footer" Target="footer10.xml"/><Relationship Id="rId49" Type="http://schemas.openxmlformats.org/officeDocument/2006/relationships/header" Target="header21.xml"/><Relationship Id="rId114" Type="http://schemas.openxmlformats.org/officeDocument/2006/relationships/footer" Target="footer53.xml"/><Relationship Id="rId275" Type="http://schemas.openxmlformats.org/officeDocument/2006/relationships/header" Target="header134.xml"/><Relationship Id="rId296" Type="http://schemas.openxmlformats.org/officeDocument/2006/relationships/footer" Target="footer144.xml"/><Relationship Id="rId300" Type="http://schemas.openxmlformats.org/officeDocument/2006/relationships/footer" Target="footer146.xml"/><Relationship Id="rId60" Type="http://schemas.openxmlformats.org/officeDocument/2006/relationships/footer" Target="footer26.xml"/><Relationship Id="rId81" Type="http://schemas.openxmlformats.org/officeDocument/2006/relationships/header" Target="header37.xml"/><Relationship Id="rId135" Type="http://schemas.openxmlformats.org/officeDocument/2006/relationships/header" Target="header64.xml"/><Relationship Id="rId156" Type="http://schemas.openxmlformats.org/officeDocument/2006/relationships/footer" Target="footer74.xml"/><Relationship Id="rId177" Type="http://schemas.openxmlformats.org/officeDocument/2006/relationships/header" Target="header85.xml"/><Relationship Id="rId198" Type="http://schemas.openxmlformats.org/officeDocument/2006/relationships/footer" Target="footer95.xml"/><Relationship Id="rId321" Type="http://schemas.openxmlformats.org/officeDocument/2006/relationships/header" Target="header157.xml"/><Relationship Id="rId342" Type="http://schemas.openxmlformats.org/officeDocument/2006/relationships/footer" Target="footer167.xml"/><Relationship Id="rId202" Type="http://schemas.openxmlformats.org/officeDocument/2006/relationships/footer" Target="footer97.xml"/><Relationship Id="rId223" Type="http://schemas.openxmlformats.org/officeDocument/2006/relationships/header" Target="header108.xml"/><Relationship Id="rId244" Type="http://schemas.openxmlformats.org/officeDocument/2006/relationships/footer" Target="footer118.xml"/><Relationship Id="rId18" Type="http://schemas.openxmlformats.org/officeDocument/2006/relationships/footer" Target="footer5.xml"/><Relationship Id="rId39" Type="http://schemas.openxmlformats.org/officeDocument/2006/relationships/header" Target="header16.xml"/><Relationship Id="rId265" Type="http://schemas.openxmlformats.org/officeDocument/2006/relationships/header" Target="header129.xml"/><Relationship Id="rId286" Type="http://schemas.openxmlformats.org/officeDocument/2006/relationships/footer" Target="footer139.xml"/><Relationship Id="rId50" Type="http://schemas.openxmlformats.org/officeDocument/2006/relationships/footer" Target="footer21.xml"/><Relationship Id="rId104" Type="http://schemas.openxmlformats.org/officeDocument/2006/relationships/footer" Target="footer48.xml"/><Relationship Id="rId125" Type="http://schemas.openxmlformats.org/officeDocument/2006/relationships/header" Target="header59.xml"/><Relationship Id="rId146" Type="http://schemas.openxmlformats.org/officeDocument/2006/relationships/footer" Target="footer69.xml"/><Relationship Id="rId167" Type="http://schemas.openxmlformats.org/officeDocument/2006/relationships/header" Target="header80.xml"/><Relationship Id="rId188" Type="http://schemas.openxmlformats.org/officeDocument/2006/relationships/footer" Target="footer90.xml"/><Relationship Id="rId311" Type="http://schemas.openxmlformats.org/officeDocument/2006/relationships/header" Target="header152.xml"/><Relationship Id="rId332" Type="http://schemas.openxmlformats.org/officeDocument/2006/relationships/footer" Target="footer162.xml"/><Relationship Id="rId353" Type="http://schemas.openxmlformats.org/officeDocument/2006/relationships/header" Target="header173.xml"/><Relationship Id="rId71" Type="http://schemas.openxmlformats.org/officeDocument/2006/relationships/header" Target="header32.xml"/><Relationship Id="rId92" Type="http://schemas.openxmlformats.org/officeDocument/2006/relationships/footer" Target="footer42.xml"/><Relationship Id="rId213" Type="http://schemas.openxmlformats.org/officeDocument/2006/relationships/header" Target="header103.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55" Type="http://schemas.openxmlformats.org/officeDocument/2006/relationships/header" Target="header124.xml"/><Relationship Id="rId276" Type="http://schemas.openxmlformats.org/officeDocument/2006/relationships/footer" Target="footer134.xml"/><Relationship Id="rId297" Type="http://schemas.openxmlformats.org/officeDocument/2006/relationships/header" Target="header145.xml"/><Relationship Id="rId40" Type="http://schemas.openxmlformats.org/officeDocument/2006/relationships/footer" Target="footer16.xml"/><Relationship Id="rId115" Type="http://schemas.openxmlformats.org/officeDocument/2006/relationships/header" Target="header54.xml"/><Relationship Id="rId136" Type="http://schemas.openxmlformats.org/officeDocument/2006/relationships/footer" Target="footer64.xml"/><Relationship Id="rId157" Type="http://schemas.openxmlformats.org/officeDocument/2006/relationships/header" Target="header75.xml"/><Relationship Id="rId178" Type="http://schemas.openxmlformats.org/officeDocument/2006/relationships/footer" Target="footer85.xml"/><Relationship Id="rId301" Type="http://schemas.openxmlformats.org/officeDocument/2006/relationships/header" Target="header147.xml"/><Relationship Id="rId322" Type="http://schemas.openxmlformats.org/officeDocument/2006/relationships/footer" Target="footer157.xml"/><Relationship Id="rId343" Type="http://schemas.openxmlformats.org/officeDocument/2006/relationships/header" Target="header168.xml"/><Relationship Id="rId61" Type="http://schemas.openxmlformats.org/officeDocument/2006/relationships/header" Target="header27.xml"/><Relationship Id="rId82" Type="http://schemas.openxmlformats.org/officeDocument/2006/relationships/footer" Target="footer37.xml"/><Relationship Id="rId199" Type="http://schemas.openxmlformats.org/officeDocument/2006/relationships/header" Target="header96.xml"/><Relationship Id="rId203" Type="http://schemas.openxmlformats.org/officeDocument/2006/relationships/header" Target="header98.xml"/><Relationship Id="rId19" Type="http://schemas.openxmlformats.org/officeDocument/2006/relationships/header" Target="header6.xml"/><Relationship Id="rId224" Type="http://schemas.openxmlformats.org/officeDocument/2006/relationships/footer" Target="footer108.xml"/><Relationship Id="rId245" Type="http://schemas.openxmlformats.org/officeDocument/2006/relationships/header" Target="header119.xml"/><Relationship Id="rId266" Type="http://schemas.openxmlformats.org/officeDocument/2006/relationships/footer" Target="footer129.xml"/><Relationship Id="rId287" Type="http://schemas.openxmlformats.org/officeDocument/2006/relationships/header" Target="header140.xml"/><Relationship Id="rId30" Type="http://schemas.openxmlformats.org/officeDocument/2006/relationships/footer" Target="footer11.xml"/><Relationship Id="rId105" Type="http://schemas.openxmlformats.org/officeDocument/2006/relationships/header" Target="header49.xml"/><Relationship Id="rId126" Type="http://schemas.openxmlformats.org/officeDocument/2006/relationships/footer" Target="footer59.xml"/><Relationship Id="rId147" Type="http://schemas.openxmlformats.org/officeDocument/2006/relationships/header" Target="header70.xml"/><Relationship Id="rId168" Type="http://schemas.openxmlformats.org/officeDocument/2006/relationships/footer" Target="footer80.xml"/><Relationship Id="rId312" Type="http://schemas.openxmlformats.org/officeDocument/2006/relationships/footer" Target="footer152.xml"/><Relationship Id="rId333" Type="http://schemas.openxmlformats.org/officeDocument/2006/relationships/header" Target="header163.xml"/><Relationship Id="rId354" Type="http://schemas.openxmlformats.org/officeDocument/2006/relationships/footer" Target="footer173.xml"/><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189" Type="http://schemas.openxmlformats.org/officeDocument/2006/relationships/header" Target="header91.xml"/><Relationship Id="rId3" Type="http://schemas.openxmlformats.org/officeDocument/2006/relationships/styles" Target="styles.xml"/><Relationship Id="rId214" Type="http://schemas.openxmlformats.org/officeDocument/2006/relationships/footer" Target="footer103.xml"/><Relationship Id="rId235" Type="http://schemas.openxmlformats.org/officeDocument/2006/relationships/header" Target="header114.xml"/><Relationship Id="rId256" Type="http://schemas.openxmlformats.org/officeDocument/2006/relationships/footer" Target="footer124.xml"/><Relationship Id="rId277" Type="http://schemas.openxmlformats.org/officeDocument/2006/relationships/header" Target="header135.xml"/><Relationship Id="rId298" Type="http://schemas.openxmlformats.org/officeDocument/2006/relationships/footer" Target="footer145.xml"/><Relationship Id="rId116" Type="http://schemas.openxmlformats.org/officeDocument/2006/relationships/footer" Target="footer54.xml"/><Relationship Id="rId137" Type="http://schemas.openxmlformats.org/officeDocument/2006/relationships/header" Target="header65.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header" Target="header158.xml"/><Relationship Id="rId344" Type="http://schemas.openxmlformats.org/officeDocument/2006/relationships/footer" Target="footer168.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7.xml"/><Relationship Id="rId83" Type="http://schemas.openxmlformats.org/officeDocument/2006/relationships/header" Target="header38.xml"/><Relationship Id="rId179" Type="http://schemas.openxmlformats.org/officeDocument/2006/relationships/header" Target="header86.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9.xml"/><Relationship Id="rId246" Type="http://schemas.openxmlformats.org/officeDocument/2006/relationships/footer" Target="footer119.xml"/><Relationship Id="rId267" Type="http://schemas.openxmlformats.org/officeDocument/2006/relationships/header" Target="header130.xml"/><Relationship Id="rId288" Type="http://schemas.openxmlformats.org/officeDocument/2006/relationships/footer" Target="footer140.xml"/><Relationship Id="rId106" Type="http://schemas.openxmlformats.org/officeDocument/2006/relationships/footer" Target="footer49.xml"/><Relationship Id="rId127" Type="http://schemas.openxmlformats.org/officeDocument/2006/relationships/header" Target="header60.xml"/><Relationship Id="rId313" Type="http://schemas.openxmlformats.org/officeDocument/2006/relationships/header" Target="header153.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303" Type="http://schemas.openxmlformats.org/officeDocument/2006/relationships/header" Target="header148.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107" Type="http://schemas.openxmlformats.org/officeDocument/2006/relationships/header" Target="header50.xml"/><Relationship Id="rId289" Type="http://schemas.openxmlformats.org/officeDocument/2006/relationships/header" Target="header141.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258" Type="http://schemas.openxmlformats.org/officeDocument/2006/relationships/footer" Target="footer125.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6" Type="http://schemas.openxmlformats.org/officeDocument/2006/relationships/footnotes" Target="footnotes.xml"/><Relationship Id="rId238" Type="http://schemas.openxmlformats.org/officeDocument/2006/relationships/footer" Target="footer115.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theme" Target="theme/theme1.xml"/><Relationship Id="rId162" Type="http://schemas.openxmlformats.org/officeDocument/2006/relationships/footer" Target="footer77.xml"/><Relationship Id="rId218" Type="http://schemas.openxmlformats.org/officeDocument/2006/relationships/footer" Target="footer105.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173" Type="http://schemas.openxmlformats.org/officeDocument/2006/relationships/header" Target="header83.xml"/><Relationship Id="rId229" Type="http://schemas.openxmlformats.org/officeDocument/2006/relationships/header" Target="header111.xml"/><Relationship Id="rId240" Type="http://schemas.openxmlformats.org/officeDocument/2006/relationships/footer" Target="footer116.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png"/><Relationship Id="rId142" Type="http://schemas.openxmlformats.org/officeDocument/2006/relationships/footer" Target="footer67.xml"/><Relationship Id="rId184" Type="http://schemas.openxmlformats.org/officeDocument/2006/relationships/footer" Target="footer88.xml"/><Relationship Id="rId251" Type="http://schemas.openxmlformats.org/officeDocument/2006/relationships/header" Target="header1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0F3E-32B0-4B1C-9560-607ABB92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190</Pages>
  <Words>75802</Words>
  <Characters>432072</Characters>
  <Application>Microsoft Office Word</Application>
  <DocSecurity>0</DocSecurity>
  <Lines>3600</Lines>
  <Paragraphs>1013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506861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Central de Periódicos</cp:lastModifiedBy>
  <cp:revision>7</cp:revision>
  <dcterms:created xsi:type="dcterms:W3CDTF">2013-12-23T23:15:00Z</dcterms:created>
  <dcterms:modified xsi:type="dcterms:W3CDTF">2026-07-31T13:16:00Z</dcterms:modified>
  <cp:category/>
</cp:coreProperties>
</file>