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63A" w:rsidRPr="0035463A" w:rsidRDefault="0035463A" w:rsidP="0035463A">
      <w:pPr>
        <w:pStyle w:val="Ttulo1"/>
        <w:rPr>
          <w:rStyle w:val="palavrachave"/>
          <w:rFonts w:ascii="Palatino Linotype" w:hAnsi="Palatino Linotype"/>
          <w:bCs w:val="0"/>
          <w:i/>
        </w:rPr>
      </w:pPr>
      <w:r w:rsidRPr="0035463A">
        <w:rPr>
          <w:rStyle w:val="palavrachave"/>
          <w:rFonts w:ascii="Palatino Linotype" w:hAnsi="Palatino Linotype"/>
          <w:bCs w:val="0"/>
          <w:i/>
        </w:rPr>
        <w:t xml:space="preserve">Artigo original </w:t>
      </w:r>
      <w:r w:rsidRPr="0035463A">
        <w:rPr>
          <w:rStyle w:val="palavrachave"/>
          <w:rFonts w:ascii="Palatino Linotype" w:hAnsi="Palatino Linotype"/>
          <w:bCs w:val="0"/>
          <w:i/>
        </w:rPr>
        <w:tab/>
      </w:r>
      <w:r w:rsidRPr="0035463A">
        <w:rPr>
          <w:rStyle w:val="palavrachave"/>
          <w:rFonts w:ascii="Palatino Linotype" w:hAnsi="Palatino Linotype"/>
          <w:bCs w:val="0"/>
          <w:i/>
        </w:rPr>
        <w:tab/>
      </w:r>
      <w:r w:rsidRPr="0035463A">
        <w:rPr>
          <w:rStyle w:val="palavrachave"/>
          <w:rFonts w:ascii="Palatino Linotype" w:hAnsi="Palatino Linotype"/>
          <w:bCs w:val="0"/>
          <w:i/>
        </w:rPr>
        <w:tab/>
      </w:r>
      <w:r w:rsidRPr="0035463A">
        <w:rPr>
          <w:rStyle w:val="palavrachave"/>
          <w:rFonts w:ascii="Palatino Linotype" w:hAnsi="Palatino Linotype"/>
          <w:bCs w:val="0"/>
          <w:i/>
        </w:rPr>
        <w:tab/>
      </w:r>
      <w:r w:rsidRPr="0035463A">
        <w:rPr>
          <w:rStyle w:val="palavrachave"/>
          <w:rFonts w:ascii="Palatino Linotype" w:hAnsi="Palatino Linotype"/>
          <w:bCs w:val="0"/>
          <w:i/>
        </w:rPr>
        <w:tab/>
      </w:r>
      <w:r w:rsidRPr="0035463A">
        <w:rPr>
          <w:rStyle w:val="palavrachave"/>
          <w:rFonts w:ascii="Palatino Linotype" w:hAnsi="Palatino Linotype"/>
          <w:bCs w:val="0"/>
          <w:i/>
        </w:rPr>
        <w:tab/>
      </w:r>
      <w:r w:rsidRPr="0035463A">
        <w:rPr>
          <w:rStyle w:val="palavrachave"/>
          <w:rFonts w:ascii="Palatino Linotype" w:hAnsi="Palatino Linotype"/>
          <w:bCs w:val="0"/>
          <w:i/>
        </w:rPr>
        <w:tab/>
        <w:t>DOI: 105902/22361170 mais nº submissão</w:t>
      </w:r>
    </w:p>
    <w:p w:rsidR="0035463A" w:rsidRPr="00A83546" w:rsidRDefault="0035463A" w:rsidP="0035463A">
      <w:pPr>
        <w:pStyle w:val="Ttulo1"/>
        <w:spacing w:before="320"/>
        <w:ind w:left="284" w:firstLine="0"/>
        <w:rPr>
          <w:rStyle w:val="palavrachave"/>
          <w:rFonts w:ascii="Palatino Linotype" w:hAnsi="Palatino Linotype"/>
          <w:bCs w:val="0"/>
        </w:rPr>
      </w:pPr>
      <w:r w:rsidRPr="00A83546">
        <w:rPr>
          <w:b w:val="0"/>
          <w:noProof/>
        </w:rPr>
        <w:drawing>
          <wp:anchor distT="0" distB="0" distL="114300" distR="114300" simplePos="0" relativeHeight="251656192" behindDoc="0" locked="0" layoutInCell="1" allowOverlap="1">
            <wp:simplePos x="0" y="0"/>
            <wp:positionH relativeFrom="margin">
              <wp:posOffset>3141980</wp:posOffset>
            </wp:positionH>
            <wp:positionV relativeFrom="margin">
              <wp:posOffset>227330</wp:posOffset>
            </wp:positionV>
            <wp:extent cx="2444750" cy="806450"/>
            <wp:effectExtent l="0" t="0" r="0" b="0"/>
            <wp:wrapSquare wrapText="bothSides"/>
            <wp:docPr id="19" name="Imagem 19" descr="MARCA REGE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CA REGET 201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4750" cy="806450"/>
                    </a:xfrm>
                    <a:prstGeom prst="rect">
                      <a:avLst/>
                    </a:prstGeom>
                    <a:noFill/>
                    <a:ln>
                      <a:noFill/>
                    </a:ln>
                  </pic:spPr>
                </pic:pic>
              </a:graphicData>
            </a:graphic>
          </wp:anchor>
        </w:drawing>
      </w:r>
      <w:r w:rsidR="00B45855" w:rsidRPr="00B45855">
        <w:rPr>
          <w:noProof/>
        </w:rPr>
        <w:pict>
          <v:shapetype id="_x0000_t32" coordsize="21600,21600" o:spt="32" o:oned="t" path="m,l21600,21600e" filled="f">
            <v:path arrowok="t" fillok="f" o:connecttype="none"/>
            <o:lock v:ext="edit" shapetype="t"/>
          </v:shapetype>
          <v:shape id="_x0000_s1031" type="#_x0000_t32" style="position:absolute;left:0;text-align:left;margin-left:.3pt;margin-top:2.35pt;width:439.35pt;height:.0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"/>
        </w:pict>
      </w:r>
      <w:r w:rsidRPr="00A83546">
        <w:rPr>
          <w:rStyle w:val="palavrachave"/>
          <w:rFonts w:ascii="Palatino Linotype" w:hAnsi="Palatino Linotype"/>
          <w:bCs w:val="0"/>
        </w:rPr>
        <w:t xml:space="preserve">Revista Eletrônica em Gestão, Educação e Tecnologia </w:t>
      </w:r>
      <w:proofErr w:type="gramStart"/>
      <w:r w:rsidRPr="00A83546">
        <w:rPr>
          <w:rStyle w:val="palavrachave"/>
          <w:rFonts w:ascii="Palatino Linotype" w:hAnsi="Palatino Linotype"/>
          <w:bCs w:val="0"/>
        </w:rPr>
        <w:t>Ambiental</w:t>
      </w:r>
      <w:proofErr w:type="gramEnd"/>
      <w:r w:rsidRPr="00A83546">
        <w:rPr>
          <w:rStyle w:val="palavrachave"/>
          <w:rFonts w:ascii="Palatino Linotype" w:hAnsi="Palatino Linotype"/>
          <w:bCs w:val="0"/>
        </w:rPr>
        <w:t xml:space="preserve"> </w:t>
      </w:r>
    </w:p>
    <w:p w:rsidR="0035463A" w:rsidRPr="00A83546" w:rsidRDefault="0035463A" w:rsidP="0035463A">
      <w:pPr>
        <w:pStyle w:val="Ttulo1"/>
        <w:rPr>
          <w:rStyle w:val="palavrachave"/>
          <w:rFonts w:ascii="Palatino Linotype" w:hAnsi="Palatino Linotype"/>
          <w:bCs w:val="0"/>
        </w:rPr>
      </w:pPr>
      <w:r w:rsidRPr="00A83546">
        <w:rPr>
          <w:rStyle w:val="palavrachave"/>
          <w:rFonts w:ascii="Palatino Linotype" w:hAnsi="Palatino Linotype"/>
          <w:bCs w:val="0"/>
        </w:rPr>
        <w:t xml:space="preserve">Santa Maria, v. 19, n. 1, jan.-abr. </w:t>
      </w:r>
      <w:proofErr w:type="gramStart"/>
      <w:r w:rsidRPr="00A83546">
        <w:rPr>
          <w:rStyle w:val="palavrachave"/>
          <w:rFonts w:ascii="Palatino Linotype" w:hAnsi="Palatino Linotype"/>
          <w:bCs w:val="0"/>
        </w:rPr>
        <w:t>2015, p.</w:t>
      </w:r>
      <w:proofErr w:type="gramEnd"/>
      <w:r w:rsidRPr="00A83546">
        <w:rPr>
          <w:rStyle w:val="palavrachave"/>
          <w:rFonts w:ascii="Palatino Linotype" w:hAnsi="Palatino Linotype"/>
          <w:bCs w:val="0"/>
        </w:rPr>
        <w:t xml:space="preserve"> XX−XX</w:t>
      </w:r>
    </w:p>
    <w:p w:rsidR="0035463A" w:rsidRPr="00A83546" w:rsidRDefault="0035463A" w:rsidP="0035463A">
      <w:pPr>
        <w:pStyle w:val="Ttulo1"/>
        <w:rPr>
          <w:rStyle w:val="palavrachave"/>
          <w:rFonts w:ascii="Palatino Linotype" w:hAnsi="Palatino Linotype"/>
          <w:bCs w:val="0"/>
        </w:rPr>
      </w:pPr>
      <w:r w:rsidRPr="00A83546">
        <w:rPr>
          <w:rStyle w:val="palavrachave"/>
          <w:rFonts w:ascii="Palatino Linotype" w:hAnsi="Palatino Linotype"/>
          <w:bCs w:val="0"/>
        </w:rPr>
        <w:t>Revista do Centro de Ciências Naturais e Exatas – UFSM</w:t>
      </w:r>
    </w:p>
    <w:p w:rsidR="0035463A" w:rsidRPr="00DA1310" w:rsidRDefault="0035463A" w:rsidP="0035463A">
      <w:pPr>
        <w:pStyle w:val="DOI"/>
        <w:jc w:val="left"/>
        <w:rPr>
          <w:rFonts w:ascii="Palatino Linotype" w:hAnsi="Palatino Linotype"/>
        </w:rPr>
      </w:pPr>
      <w:proofErr w:type="gramStart"/>
      <w:r w:rsidRPr="00A83546">
        <w:rPr>
          <w:rStyle w:val="negritoItalico"/>
          <w:rFonts w:ascii="Palatino Linotype" w:hAnsi="Palatino Linotype"/>
        </w:rPr>
        <w:t>ISSN :</w:t>
      </w:r>
      <w:proofErr w:type="gramEnd"/>
      <w:r w:rsidRPr="00A83546">
        <w:rPr>
          <w:rStyle w:val="negritoItalico"/>
          <w:rFonts w:ascii="Palatino Linotype" w:hAnsi="Palatino Linotype"/>
        </w:rPr>
        <w:t xml:space="preserve"> </w:t>
      </w:r>
      <w:r w:rsidRPr="00A83546">
        <w:rPr>
          <w:rFonts w:ascii="Palatino Linotype" w:hAnsi="Palatino Linotype"/>
        </w:rPr>
        <w:t>22361170</w:t>
      </w:r>
    </w:p>
    <w:p w:rsidR="0035463A" w:rsidRPr="00366BDF" w:rsidRDefault="00B45855" w:rsidP="00104E8F">
      <w:pPr>
        <w:pStyle w:val="Ttulo1"/>
        <w:spacing w:line="360" w:lineRule="auto"/>
        <w:ind w:firstLine="0"/>
        <w:rPr>
          <w:rFonts w:cstheme="minorHAnsi"/>
          <w:sz w:val="20"/>
          <w:szCs w:val="20"/>
        </w:rPr>
      </w:pPr>
      <w:r w:rsidRPr="00B45855">
        <w:rPr>
          <w:noProof/>
        </w:rPr>
        <w:pict>
          <v:shape id="Conector de Seta Reta 1" o:spid="_x0000_s1032" type="#_x0000_t32" style="position:absolute;margin-left:.3pt;margin-top:9.2pt;width:439.3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"/>
        </w:pict>
      </w:r>
    </w:p>
    <w:p w:rsidR="00797A6E" w:rsidRPr="00927D2C" w:rsidRDefault="000D7BD9">
      <w:pPr>
        <w:pStyle w:val="Ttulo2"/>
        <w:spacing w:after="120"/>
        <w:rPr>
          <w:b/>
          <w:sz w:val="28"/>
          <w:szCs w:val="28"/>
        </w:rPr>
      </w:pPr>
      <w:r w:rsidRPr="00927D2C">
        <w:rPr>
          <w:b/>
          <w:sz w:val="28"/>
          <w:szCs w:val="28"/>
        </w:rPr>
        <w:t>Ferramenta computacional hidrossedimentológica: estudo de caso da PCH de Mogi-Guaçu (</w:t>
      </w:r>
      <w:proofErr w:type="gramStart"/>
      <w:r w:rsidRPr="00927D2C">
        <w:rPr>
          <w:b/>
          <w:sz w:val="28"/>
          <w:szCs w:val="28"/>
        </w:rPr>
        <w:t>Brazil-SP</w:t>
      </w:r>
      <w:proofErr w:type="gramEnd"/>
      <w:r w:rsidRPr="00927D2C">
        <w:rPr>
          <w:b/>
          <w:sz w:val="28"/>
          <w:szCs w:val="28"/>
        </w:rPr>
        <w:t>)</w:t>
      </w:r>
    </w:p>
    <w:p w:rsidR="00797A6E" w:rsidRDefault="000D7BD9">
      <w:pPr>
        <w:pStyle w:val="Ttulo2"/>
        <w:spacing w:after="120"/>
        <w:rPr>
          <w:lang w:val="en-US"/>
        </w:rPr>
      </w:pPr>
      <w:r w:rsidRPr="00927D2C">
        <w:rPr>
          <w:lang w:val="en-US"/>
        </w:rPr>
        <w:t>Hydro-sedimentological computational tool: case study of the Mogi-Guaçu SHP (Brazil-SP)</w:t>
      </w:r>
    </w:p>
    <w:p w:rsidR="00154532" w:rsidRPr="00DE0DBF" w:rsidRDefault="00154532" w:rsidP="00154532">
      <w:pPr>
        <w:pStyle w:val="Ttulo3"/>
        <w:spacing w:before="360" w:after="360"/>
      </w:pPr>
      <w:r>
        <w:t>Bruno Bernardo dos Santos</w:t>
      </w:r>
      <w:r w:rsidRPr="00DE0DBF">
        <w:rPr>
          <w:vertAlign w:val="superscript"/>
        </w:rPr>
        <w:t>1</w:t>
      </w:r>
      <w:r w:rsidRPr="00DE0DBF">
        <w:t xml:space="preserve">, </w:t>
      </w:r>
      <w:r>
        <w:t>Renato Billia de Miranda</w:t>
      </w:r>
      <w:r w:rsidRPr="00DE0DBF">
        <w:rPr>
          <w:vertAlign w:val="superscript"/>
        </w:rPr>
        <w:t>2</w:t>
      </w:r>
      <w:r>
        <w:t>, Tainá Thomassim Guimarães</w:t>
      </w:r>
      <w:r w:rsidRPr="00DE0DBF">
        <w:rPr>
          <w:vertAlign w:val="superscript"/>
        </w:rPr>
        <w:t>3</w:t>
      </w:r>
      <w:r>
        <w:t xml:space="preserve">, </w:t>
      </w:r>
      <w:r w:rsidRPr="00534B91">
        <w:t>Carlos Eduardo Nunes Medina Martinez</w:t>
      </w:r>
      <w:r w:rsidRPr="00C24F74">
        <w:rPr>
          <w:vertAlign w:val="superscript"/>
        </w:rPr>
        <w:t>4</w:t>
      </w:r>
      <w:r>
        <w:t>, Claudio Bielenki Junior</w:t>
      </w:r>
      <w:r w:rsidRPr="00DF34D1">
        <w:rPr>
          <w:vertAlign w:val="superscript"/>
        </w:rPr>
        <w:t>5</w:t>
      </w:r>
      <w:r w:rsidR="009A2753">
        <w:t xml:space="preserve">, </w:t>
      </w:r>
      <w:r>
        <w:t xml:space="preserve">Frederico Fábio </w:t>
      </w:r>
      <w:proofErr w:type="gramStart"/>
      <w:r>
        <w:t>Mauad</w:t>
      </w:r>
      <w:r>
        <w:rPr>
          <w:vertAlign w:val="superscript"/>
        </w:rPr>
        <w:t>6</w:t>
      </w:r>
      <w:proofErr w:type="gramEnd"/>
    </w:p>
    <w:p w:rsidR="0048205E" w:rsidRPr="00217E29" w:rsidRDefault="0048205E" w:rsidP="0048205E">
      <w:pPr>
        <w:pStyle w:val="TitulacaoFiliacao1Pagina"/>
        <w:ind w:firstLine="0"/>
        <w:rPr>
          <w:lang w:val="en-US"/>
        </w:rPr>
      </w:pPr>
      <w:r w:rsidRPr="008F10CF">
        <w:rPr>
          <w:vertAlign w:val="superscript"/>
          <w:lang w:val="en-US"/>
        </w:rPr>
        <w:t xml:space="preserve">1, </w:t>
      </w:r>
      <w:r>
        <w:rPr>
          <w:vertAlign w:val="superscript"/>
          <w:lang w:val="en-US"/>
        </w:rPr>
        <w:t>5</w:t>
      </w:r>
      <w:r w:rsidR="004935E6" w:rsidRPr="004935E6">
        <w:rPr>
          <w:sz w:val="16"/>
          <w:szCs w:val="16"/>
          <w:lang w:val="en-US"/>
        </w:rPr>
        <w:t>PhD in Environmental Engineering Sciences, Center for Water Resources and Environmental Studies, University of São Paulo, São Carlos, SP, Brazil</w:t>
      </w:r>
    </w:p>
    <w:p w:rsidR="0048205E" w:rsidRPr="00217E29" w:rsidRDefault="0048205E" w:rsidP="0048205E">
      <w:pPr>
        <w:pStyle w:val="TitulacaoFiliacao1Pagina"/>
        <w:ind w:firstLine="0"/>
        <w:rPr>
          <w:lang w:val="en-US"/>
        </w:rPr>
      </w:pPr>
      <w:r w:rsidRPr="00217E29">
        <w:rPr>
          <w:vertAlign w:val="superscript"/>
          <w:lang w:val="en-US"/>
        </w:rPr>
        <w:t>2</w:t>
      </w:r>
      <w:r w:rsidRPr="00217E29">
        <w:rPr>
          <w:sz w:val="16"/>
          <w:szCs w:val="16"/>
          <w:lang w:val="en-US"/>
        </w:rPr>
        <w:t>P</w:t>
      </w:r>
      <w:r w:rsidRPr="0048205E">
        <w:rPr>
          <w:sz w:val="16"/>
          <w:szCs w:val="16"/>
          <w:lang w:val="en-US"/>
        </w:rPr>
        <w:t>hD in Environmental Engineering Sciences, Postgraduate Program in Environmental Engineering Sciences Professor of University of São Paulo, Center for Water Resources and Environmental Studies, University of São Paulo, São Carlos, SP, Brazil</w:t>
      </w:r>
    </w:p>
    <w:p w:rsidR="00154532" w:rsidRPr="00217E29" w:rsidRDefault="00154532" w:rsidP="0035463A">
      <w:pPr>
        <w:pStyle w:val="TitulacaoFiliacao1Pagina"/>
        <w:ind w:firstLine="0"/>
        <w:rPr>
          <w:sz w:val="16"/>
          <w:szCs w:val="16"/>
          <w:lang w:val="en-US"/>
        </w:rPr>
      </w:pPr>
      <w:r w:rsidRPr="00217E29">
        <w:rPr>
          <w:vertAlign w:val="superscript"/>
          <w:lang w:val="en-US"/>
        </w:rPr>
        <w:t>3</w:t>
      </w:r>
      <w:r w:rsidR="004935E6" w:rsidRPr="004935E6">
        <w:rPr>
          <w:sz w:val="16"/>
          <w:szCs w:val="16"/>
          <w:lang w:val="en-US"/>
        </w:rPr>
        <w:t>MSc in Environmental Engineering Sciences, Center for Water Resources and Environmental Studies, University of São Paulo, São Carlos, SP, Brazil</w:t>
      </w:r>
    </w:p>
    <w:p w:rsidR="00154532" w:rsidRPr="00217E29" w:rsidRDefault="00154532" w:rsidP="00104E8F">
      <w:pPr>
        <w:pStyle w:val="TitulacaoFiliacao1Pagina"/>
        <w:ind w:firstLine="0"/>
        <w:rPr>
          <w:sz w:val="16"/>
          <w:szCs w:val="16"/>
          <w:lang w:val="en-US"/>
        </w:rPr>
      </w:pPr>
      <w:r w:rsidRPr="00217E29">
        <w:rPr>
          <w:vertAlign w:val="superscript"/>
          <w:lang w:val="en-US"/>
        </w:rPr>
        <w:t>4</w:t>
      </w:r>
      <w:r w:rsidR="003E00F4" w:rsidRPr="00217E29">
        <w:rPr>
          <w:sz w:val="16"/>
          <w:szCs w:val="16"/>
          <w:lang w:val="en-US"/>
        </w:rPr>
        <w:t>M</w:t>
      </w:r>
      <w:bookmarkStart w:id="0" w:name="_GoBack"/>
      <w:bookmarkEnd w:id="0"/>
      <w:r w:rsidR="004935E6" w:rsidRPr="004935E6">
        <w:rPr>
          <w:sz w:val="16"/>
          <w:szCs w:val="16"/>
          <w:lang w:val="en-US"/>
        </w:rPr>
        <w:t>Sc Candidate of the Postgraduate Program in Environmental Engineering Sciences, Center for Water Resources and Environmental Studies, University of São Paulo, São Carlos, SP, Brazil</w:t>
      </w:r>
      <w:r w:rsidRPr="00217E29">
        <w:rPr>
          <w:vertAlign w:val="superscript"/>
          <w:lang w:val="en-US"/>
        </w:rPr>
        <w:t xml:space="preserve"> </w:t>
      </w:r>
    </w:p>
    <w:p w:rsidR="00154532" w:rsidRPr="00217E29" w:rsidRDefault="001F3A27" w:rsidP="0035463A">
      <w:pPr>
        <w:pStyle w:val="TitulacaoFiliacao1Pagina"/>
        <w:ind w:firstLine="0"/>
        <w:rPr>
          <w:sz w:val="16"/>
          <w:szCs w:val="16"/>
          <w:lang w:val="en-US"/>
        </w:rPr>
      </w:pPr>
      <w:r w:rsidRPr="00217E29">
        <w:rPr>
          <w:vertAlign w:val="superscript"/>
          <w:lang w:val="en-US"/>
        </w:rPr>
        <w:t>6</w:t>
      </w:r>
      <w:r w:rsidR="00527E4A" w:rsidRPr="00217E29">
        <w:rPr>
          <w:sz w:val="16"/>
          <w:szCs w:val="16"/>
          <w:lang w:val="en-US"/>
        </w:rPr>
        <w:t>P</w:t>
      </w:r>
      <w:r w:rsidR="00941D4B" w:rsidRPr="00941D4B">
        <w:rPr>
          <w:sz w:val="16"/>
          <w:szCs w:val="16"/>
          <w:lang w:val="en-US"/>
        </w:rPr>
        <w:t>hD in Energy Systems Planning, Postgraduate Program in Environmental Engineering Sciences Professor of University of São Paulo, Center for Water Resources and Environmental Studies, University of São Paulo, São Carlos, SP, Brazil</w:t>
      </w:r>
    </w:p>
    <w:p w:rsidR="00797A6E" w:rsidRPr="00927D2C" w:rsidRDefault="000D7BD9">
      <w:pPr>
        <w:pStyle w:val="Ttulo4"/>
        <w:spacing w:before="360" w:after="240"/>
        <w:rPr>
          <w:sz w:val="20"/>
          <w:szCs w:val="20"/>
        </w:rPr>
      </w:pPr>
      <w:r w:rsidRPr="00927D2C">
        <w:rPr>
          <w:sz w:val="20"/>
          <w:szCs w:val="20"/>
        </w:rPr>
        <w:t>Resumo</w:t>
      </w:r>
    </w:p>
    <w:p w:rsidR="00797A6E" w:rsidRPr="00927D2C" w:rsidRDefault="000D7BD9">
      <w:pPr>
        <w:pStyle w:val="Ttulo5"/>
      </w:pPr>
      <w:r w:rsidRPr="00927D2C">
        <w:t xml:space="preserve">Os estudos hidrossedimentológicos são complexos e de grande importância principalmente em países com grande quantidade de recursos hídricos e com matriz energética predominantemente hidráulica. A determinação da quantidade de sedimento transportada em um corpo hídrico é dificultada principalmente devido à maior quantidade de grandezas intervenientes, o que requer a aplicação de métodos de estimativa probabilísticos ou determinísticos. Nesse contexto, este artigo apresenta um estudo de caso empregando o módulo hidrossedimentológico da ferramenta computacional NH Statistic and Sediment, desenvolvida por um dos autores, com linguagem de programação em Visual Basic for Applications para a determinação da descarga sólida total a partir dos dados obtidos na Pequena Central Hidrelétrica de Mogi-Guaçu (SP-Brazil). Foi verificada a redução da descarga sólida total no reservatório entre as campanhas, resultados esses condizentes com o esperado. Além disso, comparando-se os resultados fornecidos pela ferramenta computacional desenvolvida com outros softwares, as diferenças foram mínimas e comprovam a validade e consistência do método </w:t>
      </w:r>
      <w:proofErr w:type="gramStart"/>
      <w:r w:rsidRPr="00927D2C">
        <w:t>implementado</w:t>
      </w:r>
      <w:proofErr w:type="gramEnd"/>
      <w:r w:rsidRPr="00927D2C">
        <w:t>. Ressalta-se também que a metodologia utilizada no estudo de caso pode ser replicada para outros locais, proporcionando mais informações para a gestão e planejamento de recursos hídricos.</w:t>
      </w:r>
    </w:p>
    <w:p w:rsidR="00797A6E" w:rsidRPr="00643064" w:rsidRDefault="000D7BD9">
      <w:pPr>
        <w:pStyle w:val="Ttulo5"/>
        <w:spacing w:before="120"/>
        <w:rPr>
          <w:lang w:val="en-US"/>
        </w:rPr>
      </w:pPr>
      <w:r w:rsidRPr="00927D2C">
        <w:rPr>
          <w:b/>
        </w:rPr>
        <w:t>Palavras-chave</w:t>
      </w:r>
      <w:r w:rsidRPr="00927D2C">
        <w:t xml:space="preserve">: Hidrossedimentologia. Descarga sólida total. </w:t>
      </w:r>
      <w:proofErr w:type="gramStart"/>
      <w:r w:rsidRPr="00643064">
        <w:rPr>
          <w:lang w:val="en-US"/>
        </w:rPr>
        <w:t>Ferramenta computacional.</w:t>
      </w:r>
      <w:proofErr w:type="gramEnd"/>
      <w:r w:rsidRPr="00643064">
        <w:rPr>
          <w:lang w:val="en-US"/>
        </w:rPr>
        <w:t xml:space="preserve"> </w:t>
      </w:r>
      <w:proofErr w:type="gramStart"/>
      <w:r w:rsidRPr="00643064">
        <w:rPr>
          <w:lang w:val="en-US"/>
        </w:rPr>
        <w:t>Visual Basic for Applications.</w:t>
      </w:r>
      <w:proofErr w:type="gramEnd"/>
    </w:p>
    <w:p w:rsidR="00797A6E" w:rsidRPr="00927D2C" w:rsidRDefault="000D7BD9">
      <w:pPr>
        <w:pStyle w:val="Ttulo4"/>
        <w:spacing w:before="360" w:after="240"/>
        <w:rPr>
          <w:lang w:val="en-US"/>
        </w:rPr>
      </w:pPr>
      <w:r w:rsidRPr="00927D2C">
        <w:rPr>
          <w:sz w:val="20"/>
          <w:szCs w:val="20"/>
          <w:lang w:val="en-US"/>
        </w:rPr>
        <w:t>Abstract</w:t>
      </w:r>
    </w:p>
    <w:p w:rsidR="00797A6E" w:rsidRPr="00927D2C" w:rsidRDefault="000D7BD9">
      <w:pPr>
        <w:pStyle w:val="Ttulo5"/>
        <w:rPr>
          <w:lang w:val="en-US"/>
        </w:rPr>
      </w:pPr>
      <w:r w:rsidRPr="00927D2C">
        <w:rPr>
          <w:lang w:val="en-US"/>
        </w:rPr>
        <w:t xml:space="preserve">The hydro-sedimentological studies are complex and of great importance, mostly in countries with large amounts of water resources and with its energy matrix predominantly hydraulic. The assessment of the amount of sediment carried through water bodies is more difficult mainly due to the amount of involved quantities, which require the adoption of probabilistic or deterministic estimation methods. In this context, this paper presents a case study that applies the hydros-sedimentological module from the computational tool NH Statistic and Sediment, developed by one of the authors, written in Visual Basic for Applications to determine total sediment discharge  using data from the Mogi-Guaçu Small Hydro Electric Power Plant (SP-Brazil). Among the surveys, the reduction of total sediment </w:t>
      </w:r>
      <w:r w:rsidRPr="00927D2C">
        <w:rPr>
          <w:lang w:val="en-US"/>
        </w:rPr>
        <w:lastRenderedPageBreak/>
        <w:t>discharge was verified, which was expected. Likewise, the results provided by the developed computational tool were compared to the results of other softwares showing minimal differences, giving validity and consistency to the applied method. It’s worth mentioning that the method used in this case study may be replicated in other places, giving more information to assist the water resource management.</w:t>
      </w:r>
    </w:p>
    <w:p w:rsidR="00797A6E" w:rsidRPr="00927D2C" w:rsidRDefault="000D7BD9">
      <w:pPr>
        <w:pStyle w:val="Ttulo5"/>
        <w:spacing w:before="120"/>
        <w:rPr>
          <w:lang w:val="en-US"/>
        </w:rPr>
      </w:pPr>
      <w:r w:rsidRPr="00927D2C">
        <w:rPr>
          <w:b/>
          <w:lang w:val="en-US"/>
        </w:rPr>
        <w:t>Keywords</w:t>
      </w:r>
      <w:r w:rsidRPr="00927D2C">
        <w:rPr>
          <w:lang w:val="en-US"/>
        </w:rPr>
        <w:t xml:space="preserve">: Hydro-sedimentology. Total sediment discharge. </w:t>
      </w:r>
      <w:proofErr w:type="gramStart"/>
      <w:r w:rsidRPr="00927D2C">
        <w:rPr>
          <w:lang w:val="en-US"/>
        </w:rPr>
        <w:t>Computational tool.</w:t>
      </w:r>
      <w:proofErr w:type="gramEnd"/>
      <w:r w:rsidRPr="00927D2C">
        <w:rPr>
          <w:lang w:val="en-US"/>
        </w:rPr>
        <w:t xml:space="preserve"> </w:t>
      </w:r>
      <w:proofErr w:type="gramStart"/>
      <w:r w:rsidRPr="00927D2C">
        <w:rPr>
          <w:lang w:val="en-US"/>
        </w:rPr>
        <w:t>Visual Basic for Applications.</w:t>
      </w:r>
      <w:proofErr w:type="gramEnd"/>
      <w:r w:rsidRPr="00927D2C">
        <w:rPr>
          <w:lang w:val="en-US"/>
        </w:rPr>
        <w:br w:type="page"/>
      </w:r>
    </w:p>
    <w:p w:rsidR="00797A6E" w:rsidRPr="0048205E" w:rsidRDefault="00AD52D2">
      <w:pPr>
        <w:pStyle w:val="Ttulo3"/>
      </w:pPr>
      <w:r w:rsidRPr="0048205E">
        <w:lastRenderedPageBreak/>
        <w:t xml:space="preserve">Santos </w:t>
      </w:r>
      <w:proofErr w:type="gramStart"/>
      <w:r w:rsidRPr="0048205E">
        <w:t>et</w:t>
      </w:r>
      <w:proofErr w:type="gramEnd"/>
      <w:r w:rsidRPr="0048205E">
        <w:t xml:space="preserve"> al.: </w:t>
      </w:r>
      <w:r w:rsidR="000D7BD9" w:rsidRPr="0048205E">
        <w:t>Hydro-sedimentological computational tool</w:t>
      </w:r>
    </w:p>
    <w:p w:rsidR="00797A6E" w:rsidRPr="00927D2C" w:rsidRDefault="000D7BD9">
      <w:pPr>
        <w:pBdr>
          <w:top w:val="nil"/>
          <w:left w:val="nil"/>
          <w:bottom w:val="nil"/>
          <w:right w:val="nil"/>
          <w:between w:val="nil"/>
        </w:pBdr>
        <w:spacing w:before="360" w:after="200"/>
        <w:rPr>
          <w:rFonts w:ascii="Palatino Linotype" w:eastAsia="Palatino Linotype" w:hAnsi="Palatino Linotype" w:cs="Palatino Linotype"/>
          <w:b/>
          <w:color w:val="000000"/>
          <w:sz w:val="24"/>
          <w:szCs w:val="24"/>
          <w:lang w:val="en-US"/>
        </w:rPr>
      </w:pPr>
      <w:r w:rsidRPr="00927D2C">
        <w:rPr>
          <w:rFonts w:ascii="Palatino Linotype" w:eastAsia="Palatino Linotype" w:hAnsi="Palatino Linotype" w:cs="Palatino Linotype"/>
          <w:b/>
          <w:color w:val="000000"/>
          <w:sz w:val="24"/>
          <w:szCs w:val="24"/>
          <w:lang w:val="en-US"/>
        </w:rPr>
        <w:t xml:space="preserve">1 </w:t>
      </w:r>
      <w:r w:rsidRPr="00927D2C">
        <w:rPr>
          <w:rFonts w:ascii="Palatino Linotype" w:eastAsia="Palatino Linotype" w:hAnsi="Palatino Linotype" w:cs="Palatino Linotype"/>
          <w:b/>
          <w:sz w:val="24"/>
          <w:szCs w:val="24"/>
          <w:lang w:val="en-US"/>
        </w:rPr>
        <w:t>Introduction</w:t>
      </w:r>
      <w:r w:rsidR="00B45855" w:rsidRPr="00B45855">
        <w:rPr>
          <w:noProof/>
        </w:rPr>
        <w:pict>
          <v:shape id="Conector de Seta Reta 2" o:spid="_x0000_s1026" type="#_x0000_t32" style="position:absolute;margin-left:0;margin-top:1pt;width:439.35pt;height:1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"/>
        </w:pic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Brazil has one of the biggest hydro energetic reserves in the world, </w:t>
      </w:r>
      <w:r w:rsidR="00B7793A">
        <w:rPr>
          <w:rFonts w:ascii="Palatino Linotype" w:eastAsia="Palatino Linotype" w:hAnsi="Palatino Linotype" w:cs="Palatino Linotype"/>
          <w:sz w:val="20"/>
          <w:szCs w:val="20"/>
          <w:lang w:val="en-US"/>
        </w:rPr>
        <w:t xml:space="preserve">along with a vast amount </w:t>
      </w:r>
      <w:r w:rsidRPr="00927D2C">
        <w:rPr>
          <w:rFonts w:ascii="Palatino Linotype" w:eastAsia="Palatino Linotype" w:hAnsi="Palatino Linotype" w:cs="Palatino Linotype"/>
          <w:sz w:val="20"/>
          <w:szCs w:val="20"/>
          <w:lang w:val="en-US"/>
        </w:rPr>
        <w:t xml:space="preserve">of world’s fresh water. This resource is mainly used for irrigation, storage and electric power generation, which require hydro-sedimentological analysis the knowledge of the water </w:t>
      </w:r>
      <w:r w:rsidR="00927D2C" w:rsidRPr="00927D2C">
        <w:rPr>
          <w:rFonts w:ascii="Palatino Linotype" w:eastAsia="Palatino Linotype" w:hAnsi="Palatino Linotype" w:cs="Palatino Linotype"/>
          <w:sz w:val="20"/>
          <w:szCs w:val="20"/>
          <w:lang w:val="en-US"/>
        </w:rPr>
        <w:t>body, indispensable</w:t>
      </w:r>
      <w:r w:rsidRPr="00927D2C">
        <w:rPr>
          <w:rFonts w:ascii="Palatino Linotype" w:eastAsia="Palatino Linotype" w:hAnsi="Palatino Linotype" w:cs="Palatino Linotype"/>
          <w:sz w:val="20"/>
          <w:szCs w:val="20"/>
          <w:lang w:val="en-US"/>
        </w:rPr>
        <w:t xml:space="preserve"> to its water resource management and correct use. Moreover, the hydro-sedimentological processes demand sediment detailed studies and its interactions with the environment, an important theme of economical, social and ecological interest.</w:t>
      </w:r>
    </w:p>
    <w:p w:rsidR="00797A6E" w:rsidRPr="00927D2C" w:rsidRDefault="000D7BD9">
      <w:pPr>
        <w:spacing w:after="0"/>
        <w:ind w:firstLine="284"/>
        <w:jc w:val="both"/>
        <w:rPr>
          <w:rFonts w:ascii="Palatino Linotype" w:eastAsia="Palatino Linotype" w:hAnsi="Palatino Linotype" w:cs="Palatino Linotype"/>
          <w:color w:val="212121"/>
          <w:sz w:val="20"/>
          <w:szCs w:val="20"/>
          <w:highlight w:val="white"/>
          <w:lang w:val="en-US"/>
        </w:rPr>
      </w:pPr>
      <w:r w:rsidRPr="00927D2C">
        <w:rPr>
          <w:rFonts w:ascii="Palatino Linotype" w:eastAsia="Palatino Linotype" w:hAnsi="Palatino Linotype" w:cs="Palatino Linotype"/>
          <w:sz w:val="20"/>
          <w:szCs w:val="20"/>
          <w:lang w:val="en-US"/>
        </w:rPr>
        <w:t xml:space="preserve">Syvistki et al. (2005) claim that environmental issues related to sediments are particularly important in developing countries, since its population growth rate is usually high and this increase is proportional to the pressure over natural resources, which causes the rates of production and deposition of sediment to rise. Once it is present in the aquatic ecosystem, it plays an important role to the biota </w:t>
      </w:r>
      <w:r w:rsidR="00927D2C" w:rsidRPr="00927D2C">
        <w:rPr>
          <w:rFonts w:ascii="Palatino Linotype" w:eastAsia="Palatino Linotype" w:hAnsi="Palatino Linotype" w:cs="Palatino Linotype"/>
          <w:sz w:val="20"/>
          <w:szCs w:val="20"/>
          <w:lang w:val="en-US"/>
        </w:rPr>
        <w:t>supplying nutrients</w:t>
      </w:r>
      <w:r w:rsidRPr="00927D2C">
        <w:rPr>
          <w:rFonts w:ascii="Palatino Linotype" w:eastAsia="Palatino Linotype" w:hAnsi="Palatino Linotype" w:cs="Palatino Linotype"/>
          <w:sz w:val="20"/>
          <w:szCs w:val="20"/>
          <w:lang w:val="en-US"/>
        </w:rPr>
        <w:t xml:space="preserve"> and energy. Besides, sediment performs as a water quality regulator due to its capacity to withhold and release pollutants (GOLTERMAN; SLY; THOMAS, 1983). According to Carvalho (2008) and Vanoni (1975), the sediment transport may: jeopardize all the water uses; interfere with the light penetration and the heat in the water bodies; needed to the photosynthesis and </w:t>
      </w:r>
      <w:r w:rsidRPr="00927D2C">
        <w:rPr>
          <w:rFonts w:ascii="Palatino Linotype" w:eastAsia="Palatino Linotype" w:hAnsi="Palatino Linotype" w:cs="Palatino Linotype"/>
          <w:color w:val="212121"/>
          <w:sz w:val="20"/>
          <w:szCs w:val="20"/>
          <w:highlight w:val="white"/>
          <w:lang w:val="en-US"/>
        </w:rPr>
        <w:t>salubrity in the water bodies</w:t>
      </w:r>
      <w:r w:rsidRPr="00927D2C">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color w:val="212121"/>
          <w:sz w:val="20"/>
          <w:szCs w:val="20"/>
          <w:highlight w:val="white"/>
          <w:lang w:val="en-US"/>
        </w:rPr>
        <w:t xml:space="preserve"> act as carriers for other pollutants; cause abrasion in electromechanical equipment and hydraulic structures; and provoke disturbances in the channel shape.</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Generically, according to Branco e Rocha (1977) e Muller (1995), all watercourses have the intrinsic property to transport sediments, whether suspended, saltation, rolling or a combination of these ways. The sediment transport in water is ruled by the relation between the water discharge carrying capacity and the strength needed to shift the solid particles available in its course (LIMA; SILVA, 2007).</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Curtis, Culbertson e Chase (1973) used data from 27 drainage basins in USA could estimate the yearly average sediment discharge that reached the oceans. The results pointed that 14.2 </w:t>
      </w:r>
      <w:r w:rsidR="00927D2C" w:rsidRPr="00927D2C">
        <w:rPr>
          <w:rFonts w:ascii="Palatino Linotype" w:eastAsia="Palatino Linotype" w:hAnsi="Palatino Linotype" w:cs="Palatino Linotype"/>
          <w:sz w:val="20"/>
          <w:szCs w:val="20"/>
          <w:lang w:val="en-US"/>
        </w:rPr>
        <w:t>million</w:t>
      </w:r>
      <w:r w:rsidRPr="00927D2C">
        <w:rPr>
          <w:rFonts w:ascii="Palatino Linotype" w:eastAsia="Palatino Linotype" w:hAnsi="Palatino Linotype" w:cs="Palatino Linotype"/>
          <w:sz w:val="20"/>
          <w:szCs w:val="20"/>
          <w:lang w:val="en-US"/>
        </w:rPr>
        <w:t xml:space="preserve"> of tons per day of sediment reached the Atlantic Ocean, 378.179 </w:t>
      </w:r>
      <w:r w:rsidR="00927D2C" w:rsidRPr="00927D2C">
        <w:rPr>
          <w:rFonts w:ascii="Palatino Linotype" w:eastAsia="Palatino Linotype" w:hAnsi="Palatino Linotype" w:cs="Palatino Linotype"/>
          <w:sz w:val="20"/>
          <w:szCs w:val="20"/>
          <w:lang w:val="en-US"/>
        </w:rPr>
        <w:t>million</w:t>
      </w:r>
      <w:r w:rsidRPr="00927D2C">
        <w:rPr>
          <w:rFonts w:ascii="Palatino Linotype" w:eastAsia="Palatino Linotype" w:hAnsi="Palatino Linotype" w:cs="Palatino Linotype"/>
          <w:sz w:val="20"/>
          <w:szCs w:val="20"/>
          <w:lang w:val="en-US"/>
        </w:rPr>
        <w:t xml:space="preserve"> reached the Gulf of Mexico, and 99.1 </w:t>
      </w:r>
      <w:r w:rsidR="00927D2C" w:rsidRPr="00927D2C">
        <w:rPr>
          <w:rFonts w:ascii="Palatino Linotype" w:eastAsia="Palatino Linotype" w:hAnsi="Palatino Linotype" w:cs="Palatino Linotype"/>
          <w:sz w:val="20"/>
          <w:szCs w:val="20"/>
          <w:lang w:val="en-US"/>
        </w:rPr>
        <w:t>million</w:t>
      </w:r>
      <w:r w:rsidRPr="00927D2C">
        <w:rPr>
          <w:rFonts w:ascii="Palatino Linotype" w:eastAsia="Palatino Linotype" w:hAnsi="Palatino Linotype" w:cs="Palatino Linotype"/>
          <w:sz w:val="20"/>
          <w:szCs w:val="20"/>
          <w:lang w:val="en-US"/>
        </w:rPr>
        <w:t xml:space="preserve"> reached the Pacific Ocean. Furthermore, to Curtis, Culbertson e Chase (1973) and Holeman (1968), it is estimated that in USA only about 10% of eroded material in the drainage basins reach oceans, while the rest is deposited in lakes, reservoirs, channels and land surface. Syvitski et al. (2005) verified that 12.6 </w:t>
      </w:r>
      <w:r w:rsidR="00927D2C" w:rsidRPr="00927D2C">
        <w:rPr>
          <w:rFonts w:ascii="Palatino Linotype" w:eastAsia="Palatino Linotype" w:hAnsi="Palatino Linotype" w:cs="Palatino Linotype"/>
          <w:sz w:val="20"/>
          <w:szCs w:val="20"/>
          <w:lang w:val="en-US"/>
        </w:rPr>
        <w:t>billion</w:t>
      </w:r>
      <w:r w:rsidRPr="00927D2C">
        <w:rPr>
          <w:rFonts w:ascii="Palatino Linotype" w:eastAsia="Palatino Linotype" w:hAnsi="Palatino Linotype" w:cs="Palatino Linotype"/>
          <w:sz w:val="20"/>
          <w:szCs w:val="20"/>
          <w:lang w:val="en-US"/>
        </w:rPr>
        <w:t xml:space="preserve"> of tons of sediment per year are carried worldwide in water bodies, </w:t>
      </w:r>
      <w:r w:rsidR="00927D2C" w:rsidRPr="00927D2C">
        <w:rPr>
          <w:rFonts w:ascii="Palatino Linotype" w:eastAsia="Palatino Linotype" w:hAnsi="Palatino Linotype" w:cs="Palatino Linotype"/>
          <w:sz w:val="20"/>
          <w:szCs w:val="20"/>
          <w:lang w:val="en-US"/>
        </w:rPr>
        <w:t>considering</w:t>
      </w:r>
      <w:r w:rsidRPr="00927D2C">
        <w:rPr>
          <w:rFonts w:ascii="Palatino Linotype" w:eastAsia="Palatino Linotype" w:hAnsi="Palatino Linotype" w:cs="Palatino Linotype"/>
          <w:sz w:val="20"/>
          <w:szCs w:val="20"/>
          <w:lang w:val="en-US"/>
        </w:rPr>
        <w:t xml:space="preserve"> that reservoirs trap 20% of global sediment inflow due mostly to the deposition and yield.</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According to Silva e Wilson Júnior (2005), the sediment discharge estimate in a river is probably one of the most complexes problems in all fluvial hydraulics. The suspended load is always easily attained. The biggest difficulty, according to Carvalho (2008) e Paiva (2001), is in the assessment of bed and total load as a result of more quantities involved. They can be classified as deterministic processes, which use equations to estimate these processes, or in stochastic processes (probability) that use data acquired in field work to analyze the correlation between the involved variables.</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Among the most known estimate methods of total sediment discharge worldwide are the Modified Einstein Procedure by Colby and Hembre (1955) and the Simplified Procedure by Colby (1957). The former procedure is a probabilistic method, result of several years of research of shallow and deep rivers in Nebraska, USA. In this case, suspended load measures and bed load gathering are needed, which requires lots of information and the use of abacuses (Santos, et al., 2012). The latter procedure by Colby (1957) to estimate total sediment discharge is based on Einstein’s procedure and in several field measurements. In this assessment, the total sediment discharge is </w:t>
      </w:r>
      <w:r w:rsidRPr="00927D2C">
        <w:rPr>
          <w:rFonts w:ascii="Palatino Linotype" w:eastAsia="Palatino Linotype" w:hAnsi="Palatino Linotype" w:cs="Palatino Linotype"/>
          <w:sz w:val="20"/>
          <w:szCs w:val="20"/>
          <w:lang w:val="en-US"/>
        </w:rPr>
        <w:lastRenderedPageBreak/>
        <w:t>separated in measured and unmeasured; the first is easily calculated using total sediment discharge equations, meanwhile the second is estimated using abacuses.</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However, to Alonso, Neibling e Foster (1981), the forethought of sediment transport rates significantly differs between the </w:t>
      </w:r>
      <w:proofErr w:type="gramStart"/>
      <w:r w:rsidRPr="00927D2C">
        <w:rPr>
          <w:rFonts w:ascii="Palatino Linotype" w:eastAsia="Palatino Linotype" w:hAnsi="Palatino Linotype" w:cs="Palatino Linotype"/>
          <w:sz w:val="20"/>
          <w:szCs w:val="20"/>
          <w:lang w:val="en-US"/>
        </w:rPr>
        <w:t>formulas, which turns</w:t>
      </w:r>
      <w:proofErr w:type="gramEnd"/>
      <w:r w:rsidRPr="00927D2C">
        <w:rPr>
          <w:rFonts w:ascii="Palatino Linotype" w:eastAsia="Palatino Linotype" w:hAnsi="Palatino Linotype" w:cs="Palatino Linotype"/>
          <w:sz w:val="20"/>
          <w:szCs w:val="20"/>
          <w:lang w:val="en-US"/>
        </w:rPr>
        <w:t xml:space="preserve"> the choosing of a reliable equation to estimate a specific load difficult. Scapin, Paiva e Beling (2007) found that the Procedures, both the Modified Einstein and Colby, that incorporate suspended sediment concentration measured data, provided the best results in a section from the river Arroio Cancela in Santa Maria (RS).</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Considering the total sediment discharge estimation procedures’ potential to support hydro-sedimentological studies, a case study was made using a hydro-sedimentological module from a computational tool developed by one of its authors, written in Visual Basic for Applications (VBA) to determine the total sediment discharge using data acquired from the Mogi-Guaçu Small Hydro Electric Power Plant (SP-Brazil).</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This study is part of a project from the Technological Research and Development Program from Electrical Energy Sector (P&amp;D ANEEL) through a partnership between São Carlos School of Engineering, Foundation for the Research Increase and the Industrial Improvement (FIPAI) and the Energy Company AES Tietê, the latter being the project’s sponsor.</w:t>
      </w:r>
    </w:p>
    <w:p w:rsidR="00797A6E" w:rsidRPr="00927D2C" w:rsidRDefault="000D7BD9">
      <w:pPr>
        <w:pBdr>
          <w:top w:val="nil"/>
          <w:left w:val="nil"/>
          <w:bottom w:val="nil"/>
          <w:right w:val="nil"/>
          <w:between w:val="nil"/>
        </w:pBdr>
        <w:spacing w:before="360" w:after="200"/>
        <w:rPr>
          <w:rFonts w:ascii="Palatino Linotype" w:eastAsia="Palatino Linotype" w:hAnsi="Palatino Linotype" w:cs="Palatino Linotype"/>
          <w:b/>
          <w:color w:val="000000"/>
          <w:sz w:val="24"/>
          <w:szCs w:val="24"/>
          <w:lang w:val="en-US"/>
        </w:rPr>
      </w:pPr>
      <w:r w:rsidRPr="00927D2C">
        <w:rPr>
          <w:rFonts w:ascii="Palatino Linotype" w:eastAsia="Palatino Linotype" w:hAnsi="Palatino Linotype" w:cs="Palatino Linotype"/>
          <w:b/>
          <w:color w:val="000000"/>
          <w:sz w:val="24"/>
          <w:szCs w:val="24"/>
          <w:lang w:val="en-US"/>
        </w:rPr>
        <w:t>2 M</w:t>
      </w:r>
      <w:r w:rsidRPr="00927D2C">
        <w:rPr>
          <w:rFonts w:ascii="Palatino Linotype" w:eastAsia="Palatino Linotype" w:hAnsi="Palatino Linotype" w:cs="Palatino Linotype"/>
          <w:b/>
          <w:sz w:val="24"/>
          <w:szCs w:val="24"/>
          <w:lang w:val="en-US"/>
        </w:rPr>
        <w:t>aterials and Methods</w:t>
      </w:r>
    </w:p>
    <w:p w:rsidR="00797A6E" w:rsidRPr="00927D2C" w:rsidRDefault="000D7BD9">
      <w:pPr>
        <w:pBdr>
          <w:top w:val="nil"/>
          <w:left w:val="nil"/>
          <w:bottom w:val="nil"/>
          <w:right w:val="nil"/>
          <w:between w:val="nil"/>
        </w:pBdr>
        <w:spacing w:before="360" w:after="200" w:line="240" w:lineRule="auto"/>
        <w:rPr>
          <w:rFonts w:ascii="Palatino Linotype" w:eastAsia="Palatino Linotype" w:hAnsi="Palatino Linotype" w:cs="Palatino Linotype"/>
          <w:b/>
          <w:color w:val="000000"/>
          <w:shd w:val="clear" w:color="auto" w:fill="D5A6BE"/>
          <w:lang w:val="en-US"/>
        </w:rPr>
      </w:pPr>
      <w:r w:rsidRPr="00927D2C">
        <w:rPr>
          <w:rFonts w:ascii="Palatino Linotype" w:eastAsia="Palatino Linotype" w:hAnsi="Palatino Linotype" w:cs="Palatino Linotype"/>
          <w:b/>
          <w:color w:val="000000"/>
          <w:lang w:val="en-US"/>
        </w:rPr>
        <w:t>2.1 Study area characterization</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The study area to gather the required data to the computational tool tests was the reservoir from the Mogi-Guaçu Small Hydro Electric Power Plant. It is located in Mogi-Guaçu drainage basin</w:t>
      </w:r>
      <w:r w:rsidRPr="00927D2C">
        <w:rPr>
          <w:rFonts w:ascii="Palatino Linotype" w:eastAsia="Palatino Linotype" w:hAnsi="Palatino Linotype" w:cs="Palatino Linotype"/>
          <w:sz w:val="20"/>
          <w:szCs w:val="20"/>
          <w:shd w:val="clear" w:color="auto" w:fill="D5A6BE"/>
          <w:lang w:val="en-US"/>
        </w:rPr>
        <w:t xml:space="preserve"> </w:t>
      </w:r>
      <w:r w:rsidRPr="00927D2C">
        <w:rPr>
          <w:rFonts w:ascii="Palatino Linotype" w:eastAsia="Palatino Linotype" w:hAnsi="Palatino Linotype" w:cs="Palatino Linotype"/>
          <w:sz w:val="20"/>
          <w:szCs w:val="20"/>
          <w:lang w:val="en-US"/>
        </w:rPr>
        <w:t>(22°22’45.6” S; 46°53’59</w:t>
      </w:r>
      <w:proofErr w:type="gramStart"/>
      <w:r w:rsidRPr="00927D2C">
        <w:rPr>
          <w:rFonts w:ascii="Palatino Linotype" w:eastAsia="Palatino Linotype" w:hAnsi="Palatino Linotype" w:cs="Palatino Linotype"/>
          <w:sz w:val="20"/>
          <w:szCs w:val="20"/>
          <w:lang w:val="en-US"/>
        </w:rPr>
        <w:t>,1</w:t>
      </w:r>
      <w:proofErr w:type="gramEnd"/>
      <w:r w:rsidRPr="00927D2C">
        <w:rPr>
          <w:rFonts w:ascii="Palatino Linotype" w:eastAsia="Palatino Linotype" w:hAnsi="Palatino Linotype" w:cs="Palatino Linotype"/>
          <w:sz w:val="20"/>
          <w:szCs w:val="20"/>
          <w:lang w:val="en-US"/>
        </w:rPr>
        <w:t>” W), and belongs to Water Resources Management Unity 9 (UGRHI – 9) (Figure 1).</w:t>
      </w:r>
    </w:p>
    <w:p w:rsidR="00797A6E" w:rsidRPr="00927D2C" w:rsidRDefault="000D7BD9">
      <w:pPr>
        <w:spacing w:after="0"/>
        <w:ind w:firstLine="284"/>
        <w:jc w:val="both"/>
        <w:rPr>
          <w:rFonts w:ascii="Palatino Linotype" w:eastAsia="Palatino Linotype" w:hAnsi="Palatino Linotype" w:cs="Palatino Linotype"/>
          <w:lang w:val="en-US"/>
        </w:rPr>
      </w:pPr>
      <w:r w:rsidRPr="00927D2C">
        <w:rPr>
          <w:rFonts w:ascii="Palatino Linotype" w:eastAsia="Palatino Linotype" w:hAnsi="Palatino Linotype" w:cs="Palatino Linotype"/>
          <w:sz w:val="20"/>
          <w:szCs w:val="20"/>
          <w:lang w:val="en-US"/>
        </w:rPr>
        <w:t xml:space="preserve"> </w:t>
      </w:r>
    </w:p>
    <w:p w:rsidR="00797A6E" w:rsidRPr="00927D2C" w:rsidRDefault="000D7BD9">
      <w:pPr>
        <w:spacing w:after="0"/>
        <w:ind w:firstLine="284"/>
        <w:jc w:val="center"/>
        <w:rPr>
          <w:rFonts w:ascii="Palatino Linotype" w:eastAsia="Palatino Linotype" w:hAnsi="Palatino Linotype" w:cs="Palatino Linotype"/>
          <w:lang w:val="en-US"/>
        </w:rPr>
      </w:pPr>
      <w:r w:rsidRPr="00927D2C">
        <w:rPr>
          <w:rFonts w:ascii="Palatino Linotype" w:eastAsia="Palatino Linotype" w:hAnsi="Palatino Linotype" w:cs="Palatino Linotype"/>
          <w:noProof/>
        </w:rPr>
        <w:drawing>
          <wp:inline distT="0" distB="0" distL="0" distR="0">
            <wp:extent cx="3295342" cy="2524625"/>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cstate="print"/>
                    <a:srcRect/>
                    <a:stretch>
                      <a:fillRect/>
                    </a:stretch>
                  </pic:blipFill>
                  <pic:spPr>
                    <a:xfrm>
                      <a:off x="0" y="0"/>
                      <a:ext cx="3295342" cy="2524625"/>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shd w:val="clear" w:color="auto" w:fill="D5A6BE"/>
          <w:lang w:val="en-US"/>
        </w:rPr>
      </w:pPr>
      <w:r w:rsidRPr="00927D2C">
        <w:rPr>
          <w:rFonts w:ascii="Palatino Linotype" w:eastAsia="Palatino Linotype" w:hAnsi="Palatino Linotype" w:cs="Palatino Linotype"/>
          <w:color w:val="000000"/>
          <w:sz w:val="16"/>
          <w:szCs w:val="16"/>
          <w:lang w:val="en-US"/>
        </w:rPr>
        <w:t>Figure 1 – State of São Pa</w:t>
      </w:r>
      <w:r w:rsidRPr="00927D2C">
        <w:rPr>
          <w:rFonts w:ascii="Palatino Linotype" w:eastAsia="Palatino Linotype" w:hAnsi="Palatino Linotype" w:cs="Palatino Linotype"/>
          <w:sz w:val="16"/>
          <w:szCs w:val="16"/>
          <w:lang w:val="en-US"/>
        </w:rPr>
        <w:t>ulo Water Resources Management Unities</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Santos et al. (2018)</w:t>
      </w:r>
    </w:p>
    <w:p w:rsidR="00797A6E" w:rsidRPr="00927D2C" w:rsidRDefault="00797A6E">
      <w:pPr>
        <w:spacing w:after="0"/>
        <w:ind w:firstLine="284"/>
        <w:jc w:val="both"/>
        <w:rPr>
          <w:rFonts w:ascii="Palatino Linotype" w:eastAsia="Palatino Linotype" w:hAnsi="Palatino Linotype" w:cs="Palatino Linotype"/>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The Mogi-Guaçu Small Hydro Electric Power Plant (SP-Brazil) is located in the Alto Mogi sub-drainage basin, between the cities Mogi-Guaçu and Mogi-Mirim. The river Mogi-Guaçu gives its name to both to the city and the </w:t>
      </w:r>
      <w:proofErr w:type="gramStart"/>
      <w:r w:rsidRPr="00927D2C">
        <w:rPr>
          <w:rFonts w:ascii="Palatino Linotype" w:eastAsia="Palatino Linotype" w:hAnsi="Palatino Linotype" w:cs="Palatino Linotype"/>
          <w:sz w:val="20"/>
          <w:szCs w:val="20"/>
          <w:lang w:val="en-US"/>
        </w:rPr>
        <w:t>undertaking, that</w:t>
      </w:r>
      <w:proofErr w:type="gramEnd"/>
      <w:r w:rsidRPr="00927D2C">
        <w:rPr>
          <w:rFonts w:ascii="Palatino Linotype" w:eastAsia="Palatino Linotype" w:hAnsi="Palatino Linotype" w:cs="Palatino Linotype"/>
          <w:sz w:val="20"/>
          <w:szCs w:val="20"/>
          <w:lang w:val="en-US"/>
        </w:rPr>
        <w:t xml:space="preserve"> has a head of 11.6m and 7.2 MW of installed capacity power (Figure 2). It was originally owned by Companhia Energética de São Paulo (CESP) </w:t>
      </w:r>
      <w:r w:rsidRPr="00927D2C">
        <w:rPr>
          <w:rFonts w:ascii="Palatino Linotype" w:eastAsia="Palatino Linotype" w:hAnsi="Palatino Linotype" w:cs="Palatino Linotype"/>
          <w:sz w:val="20"/>
          <w:szCs w:val="20"/>
          <w:lang w:val="en-US"/>
        </w:rPr>
        <w:lastRenderedPageBreak/>
        <w:t>but was later acquired by AES Tietê in late 90’s during the great privatization of the electric power industry and remains under the concession of this company (Table 1).</w:t>
      </w:r>
    </w:p>
    <w:p w:rsidR="00797A6E" w:rsidRPr="00927D2C" w:rsidRDefault="00797A6E">
      <w:pPr>
        <w:spacing w:after="0"/>
        <w:ind w:firstLine="284"/>
        <w:jc w:val="both"/>
        <w:rPr>
          <w:rFonts w:ascii="Palatino Linotype" w:eastAsia="Palatino Linotype" w:hAnsi="Palatino Linotype" w:cs="Palatino Linotype"/>
          <w:lang w:val="en-US"/>
        </w:rPr>
      </w:pPr>
    </w:p>
    <w:p w:rsidR="00797A6E" w:rsidRPr="00927D2C" w:rsidRDefault="000D7BD9">
      <w:pPr>
        <w:pBdr>
          <w:top w:val="nil"/>
          <w:left w:val="nil"/>
          <w:bottom w:val="nil"/>
          <w:right w:val="nil"/>
          <w:between w:val="nil"/>
        </w:pBdr>
        <w:spacing w:before="240" w:after="24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Table </w:t>
      </w:r>
      <w:r w:rsidRPr="00927D2C">
        <w:rPr>
          <w:rFonts w:ascii="Palatino Linotype" w:eastAsia="Palatino Linotype" w:hAnsi="Palatino Linotype" w:cs="Palatino Linotype"/>
          <w:color w:val="000000"/>
          <w:sz w:val="20"/>
          <w:szCs w:val="20"/>
          <w:lang w:val="en-US"/>
        </w:rPr>
        <w:t>1 – Mogi-Gua</w:t>
      </w:r>
      <w:r w:rsidRPr="00927D2C">
        <w:rPr>
          <w:rFonts w:ascii="Palatino Linotype" w:eastAsia="Palatino Linotype" w:hAnsi="Palatino Linotype" w:cs="Palatino Linotype"/>
          <w:sz w:val="20"/>
          <w:szCs w:val="20"/>
          <w:lang w:val="en-US"/>
        </w:rPr>
        <w:t>çu (SP) Small Hydropower Plant Characteristics</w:t>
      </w:r>
    </w:p>
    <w:tbl>
      <w:tblPr>
        <w:tblStyle w:val="a"/>
        <w:tblW w:w="7329"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86"/>
        <w:gridCol w:w="1701"/>
        <w:gridCol w:w="1701"/>
        <w:gridCol w:w="1741"/>
      </w:tblGrid>
      <w:tr w:rsidR="00797A6E" w:rsidRPr="00015AAD">
        <w:trPr>
          <w:trHeight w:val="280"/>
        </w:trPr>
        <w:tc>
          <w:tcPr>
            <w:tcW w:w="7329" w:type="dxa"/>
            <w:gridSpan w:val="4"/>
            <w:tcBorders>
              <w:left w:val="nil"/>
              <w:bottom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Mogi-Guaçu (SP) Small Hydropower Plant </w:t>
            </w:r>
            <w:r w:rsidR="00927D2C" w:rsidRPr="00927D2C">
              <w:rPr>
                <w:rFonts w:ascii="Palatino Linotype" w:eastAsia="Palatino Linotype" w:hAnsi="Palatino Linotype" w:cs="Palatino Linotype"/>
                <w:sz w:val="20"/>
                <w:szCs w:val="20"/>
                <w:lang w:val="en-US"/>
              </w:rPr>
              <w:t>Technical</w:t>
            </w:r>
            <w:r w:rsidRPr="00927D2C">
              <w:rPr>
                <w:rFonts w:ascii="Palatino Linotype" w:eastAsia="Palatino Linotype" w:hAnsi="Palatino Linotype" w:cs="Palatino Linotype"/>
                <w:sz w:val="20"/>
                <w:szCs w:val="20"/>
                <w:lang w:val="en-US"/>
              </w:rPr>
              <w:t xml:space="preserve"> Characteristics</w:t>
            </w:r>
          </w:p>
        </w:tc>
      </w:tr>
      <w:tr w:rsidR="00797A6E" w:rsidRPr="00927D2C">
        <w:trPr>
          <w:trHeight w:val="280"/>
        </w:trPr>
        <w:tc>
          <w:tcPr>
            <w:tcW w:w="2186" w:type="dxa"/>
            <w:tcBorders>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Operation start</w:t>
            </w:r>
          </w:p>
        </w:tc>
        <w:tc>
          <w:tcPr>
            <w:tcW w:w="1701" w:type="dxa"/>
            <w:tcBorders>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1994</w:t>
            </w:r>
          </w:p>
        </w:tc>
        <w:tc>
          <w:tcPr>
            <w:tcW w:w="1701" w:type="dxa"/>
            <w:tcBorders>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Installed capacity power</w:t>
            </w:r>
          </w:p>
        </w:tc>
        <w:tc>
          <w:tcPr>
            <w:tcW w:w="1741" w:type="dxa"/>
            <w:tcBorders>
              <w:left w:val="single" w:sz="4" w:space="0" w:color="000000"/>
              <w:bottom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7.2 MW</w:t>
            </w:r>
          </w:p>
        </w:tc>
      </w:tr>
      <w:tr w:rsidR="00797A6E" w:rsidRPr="00927D2C">
        <w:trPr>
          <w:trHeight w:val="280"/>
        </w:trPr>
        <w:tc>
          <w:tcPr>
            <w:tcW w:w="2186"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Location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Mogi-Guaçu river</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Turbines</w:t>
            </w:r>
          </w:p>
        </w:tc>
        <w:tc>
          <w:tcPr>
            <w:tcW w:w="1741" w:type="dxa"/>
            <w:tcBorders>
              <w:top w:val="single" w:sz="4" w:space="0" w:color="000000"/>
              <w:left w:val="single" w:sz="4" w:space="0" w:color="000000"/>
              <w:bottom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w:t>
            </w:r>
          </w:p>
        </w:tc>
      </w:tr>
      <w:tr w:rsidR="00797A6E" w:rsidRPr="00927D2C">
        <w:trPr>
          <w:trHeight w:val="280"/>
        </w:trPr>
        <w:tc>
          <w:tcPr>
            <w:tcW w:w="2186"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Flooded area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5.73 km²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Nominal voltage</w:t>
            </w:r>
          </w:p>
        </w:tc>
        <w:tc>
          <w:tcPr>
            <w:tcW w:w="1741" w:type="dxa"/>
            <w:tcBorders>
              <w:top w:val="single" w:sz="4" w:space="0" w:color="000000"/>
              <w:left w:val="single" w:sz="4" w:space="0" w:color="000000"/>
              <w:bottom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13.8 kV</w:t>
            </w:r>
          </w:p>
        </w:tc>
      </w:tr>
      <w:tr w:rsidR="00797A6E" w:rsidRPr="00927D2C">
        <w:trPr>
          <w:trHeight w:val="280"/>
        </w:trPr>
        <w:tc>
          <w:tcPr>
            <w:tcW w:w="2186"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Volume</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32.89 x 10</w:t>
            </w:r>
            <w:r w:rsidRPr="00927D2C">
              <w:rPr>
                <w:rFonts w:ascii="Palatino Linotype" w:eastAsia="Palatino Linotype" w:hAnsi="Palatino Linotype" w:cs="Palatino Linotype"/>
                <w:sz w:val="20"/>
                <w:szCs w:val="20"/>
                <w:vertAlign w:val="superscript"/>
                <w:lang w:val="en-US"/>
              </w:rPr>
              <w:t xml:space="preserve">6 </w:t>
            </w:r>
            <w:r w:rsidRPr="00927D2C">
              <w:rPr>
                <w:rFonts w:ascii="Palatino Linotype" w:eastAsia="Palatino Linotype" w:hAnsi="Palatino Linotype" w:cs="Palatino Linotype"/>
                <w:sz w:val="20"/>
                <w:szCs w:val="20"/>
                <w:lang w:val="en-US"/>
              </w:rPr>
              <w:t>m³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Maximum operating water level</w:t>
            </w:r>
          </w:p>
        </w:tc>
        <w:tc>
          <w:tcPr>
            <w:tcW w:w="1741" w:type="dxa"/>
            <w:tcBorders>
              <w:top w:val="single" w:sz="4" w:space="0" w:color="000000"/>
              <w:left w:val="single" w:sz="4" w:space="0" w:color="000000"/>
              <w:bottom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598.5 m</w:t>
            </w:r>
          </w:p>
        </w:tc>
      </w:tr>
      <w:tr w:rsidR="00797A6E" w:rsidRPr="00927D2C">
        <w:trPr>
          <w:trHeight w:val="280"/>
        </w:trPr>
        <w:tc>
          <w:tcPr>
            <w:tcW w:w="2186" w:type="dxa"/>
            <w:tcBorders>
              <w:top w:val="single" w:sz="4" w:space="0" w:color="000000"/>
              <w:left w:val="nil"/>
              <w:bottom w:val="nil"/>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Dam </w:t>
            </w:r>
            <w:r w:rsidR="00927D2C" w:rsidRPr="00927D2C">
              <w:rPr>
                <w:rFonts w:ascii="Palatino Linotype" w:eastAsia="Palatino Linotype" w:hAnsi="Palatino Linotype" w:cs="Palatino Linotype"/>
                <w:sz w:val="20"/>
                <w:szCs w:val="20"/>
                <w:lang w:val="en-US"/>
              </w:rPr>
              <w:t>length</w:t>
            </w:r>
          </w:p>
        </w:tc>
        <w:tc>
          <w:tcPr>
            <w:tcW w:w="1701" w:type="dxa"/>
            <w:tcBorders>
              <w:top w:val="single" w:sz="4" w:space="0" w:color="000000"/>
              <w:left w:val="single" w:sz="4" w:space="0" w:color="000000"/>
              <w:bottom w:val="nil"/>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150 m</w:t>
            </w:r>
          </w:p>
        </w:tc>
        <w:tc>
          <w:tcPr>
            <w:tcW w:w="1701" w:type="dxa"/>
            <w:tcBorders>
              <w:top w:val="single" w:sz="4" w:space="0" w:color="000000"/>
              <w:left w:val="single" w:sz="4" w:space="0" w:color="000000"/>
              <w:bottom w:val="nil"/>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Minimum operating water level</w:t>
            </w:r>
          </w:p>
        </w:tc>
        <w:tc>
          <w:tcPr>
            <w:tcW w:w="1741" w:type="dxa"/>
            <w:tcBorders>
              <w:top w:val="single" w:sz="4" w:space="0" w:color="000000"/>
              <w:left w:val="single" w:sz="4" w:space="0" w:color="000000"/>
              <w:bottom w:val="nil"/>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596 m</w:t>
            </w:r>
          </w:p>
        </w:tc>
      </w:tr>
      <w:tr w:rsidR="00797A6E" w:rsidRPr="00927D2C">
        <w:trPr>
          <w:trHeight w:val="280"/>
        </w:trPr>
        <w:tc>
          <w:tcPr>
            <w:tcW w:w="2186" w:type="dxa"/>
            <w:tcBorders>
              <w:top w:val="single" w:sz="4" w:space="0" w:color="000000"/>
              <w:left w:val="nil"/>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Total water discharge in the spillway</w:t>
            </w:r>
          </w:p>
        </w:tc>
        <w:tc>
          <w:tcPr>
            <w:tcW w:w="1701" w:type="dxa"/>
            <w:tcBorders>
              <w:top w:val="single" w:sz="4" w:space="0" w:color="000000"/>
              <w:left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2,099 m³.s</w:t>
            </w:r>
            <w:r w:rsidRPr="00927D2C">
              <w:rPr>
                <w:rFonts w:ascii="Palatino Linotype" w:eastAsia="Palatino Linotype" w:hAnsi="Palatino Linotype" w:cs="Palatino Linotype"/>
                <w:sz w:val="20"/>
                <w:szCs w:val="20"/>
                <w:vertAlign w:val="superscript"/>
                <w:lang w:val="en-US"/>
              </w:rPr>
              <w:t>-1</w:t>
            </w:r>
          </w:p>
        </w:tc>
        <w:tc>
          <w:tcPr>
            <w:tcW w:w="1701" w:type="dxa"/>
            <w:tcBorders>
              <w:top w:val="single" w:sz="4" w:space="0" w:color="000000"/>
              <w:left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Sluice gate</w:t>
            </w:r>
          </w:p>
        </w:tc>
        <w:tc>
          <w:tcPr>
            <w:tcW w:w="1741" w:type="dxa"/>
            <w:tcBorders>
              <w:top w:val="single" w:sz="4" w:space="0" w:color="000000"/>
              <w:left w:val="single" w:sz="4" w:space="0" w:color="000000"/>
              <w:right w:val="nil"/>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No</w:t>
            </w:r>
          </w:p>
        </w:tc>
      </w:tr>
    </w:tbl>
    <w:p w:rsidR="00797A6E" w:rsidRPr="00927D2C" w:rsidRDefault="00797A6E">
      <w:pPr>
        <w:spacing w:after="0"/>
        <w:ind w:firstLine="284"/>
        <w:jc w:val="both"/>
        <w:rPr>
          <w:rFonts w:ascii="Palatino Linotype" w:eastAsia="Palatino Linotype" w:hAnsi="Palatino Linotype" w:cs="Palatino Linotype"/>
          <w:lang w:val="en-US"/>
        </w:rPr>
      </w:pPr>
    </w:p>
    <w:p w:rsidR="00797A6E" w:rsidRPr="00927D2C" w:rsidRDefault="000D7BD9">
      <w:pPr>
        <w:spacing w:after="0"/>
        <w:ind w:firstLine="284"/>
        <w:jc w:val="center"/>
        <w:rPr>
          <w:rFonts w:ascii="Palatino Linotype" w:eastAsia="Palatino Linotype" w:hAnsi="Palatino Linotype" w:cs="Palatino Linotype"/>
          <w:lang w:val="en-US"/>
        </w:rPr>
      </w:pPr>
      <w:r w:rsidRPr="00927D2C">
        <w:rPr>
          <w:rFonts w:ascii="Palatino Linotype" w:eastAsia="Palatino Linotype" w:hAnsi="Palatino Linotype" w:cs="Palatino Linotype"/>
          <w:noProof/>
        </w:rPr>
        <w:drawing>
          <wp:inline distT="0" distB="0" distL="0" distR="0">
            <wp:extent cx="2782769" cy="1855029"/>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cstate="print"/>
                    <a:srcRect/>
                    <a:stretch>
                      <a:fillRect/>
                    </a:stretch>
                  </pic:blipFill>
                  <pic:spPr>
                    <a:xfrm>
                      <a:off x="0" y="0"/>
                      <a:ext cx="2782769" cy="1855029"/>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color w:val="000000"/>
          <w:sz w:val="16"/>
          <w:szCs w:val="16"/>
          <w:lang w:val="en-US"/>
        </w:rPr>
        <w:t>Figure 2 – Mogi-Guaçu Small Hydro Electric Power Plant aerial view</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AES Tietê (2018)</w:t>
      </w:r>
    </w:p>
    <w:p w:rsidR="00797A6E" w:rsidRPr="00927D2C" w:rsidRDefault="00797A6E">
      <w:pPr>
        <w:spacing w:after="0"/>
        <w:ind w:firstLine="284"/>
        <w:jc w:val="both"/>
        <w:rPr>
          <w:rFonts w:ascii="Palatino Linotype" w:eastAsia="Palatino Linotype" w:hAnsi="Palatino Linotype" w:cs="Palatino Linotype"/>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According to CBH Mogi (2008), the waters from the Mogi-Guaçu Small Hydropower Plant’s reservoir are ranked as Class 2, </w:t>
      </w:r>
      <w:r w:rsidR="00927D2C" w:rsidRPr="00927D2C">
        <w:rPr>
          <w:rFonts w:ascii="Palatino Linotype" w:eastAsia="Palatino Linotype" w:hAnsi="Palatino Linotype" w:cs="Palatino Linotype"/>
          <w:sz w:val="20"/>
          <w:szCs w:val="20"/>
          <w:lang w:val="en-US"/>
        </w:rPr>
        <w:t>its</w:t>
      </w:r>
      <w:r w:rsidRPr="00927D2C">
        <w:rPr>
          <w:rFonts w:ascii="Palatino Linotype" w:eastAsia="Palatino Linotype" w:hAnsi="Palatino Linotype" w:cs="Palatino Linotype"/>
          <w:sz w:val="20"/>
          <w:szCs w:val="20"/>
          <w:lang w:val="en-US"/>
        </w:rPr>
        <w:t xml:space="preserve"> surroundings is mostly used to plant sugar cane with small pasture areas and coffee plant cultivation. Its influence area is in a zone identified as of high susceptibility to erosion, as well as a large portion of the reservoir’s drainage basin area.</w:t>
      </w:r>
    </w:p>
    <w:p w:rsidR="00797A6E" w:rsidRPr="00927D2C" w:rsidRDefault="000D7BD9">
      <w:pPr>
        <w:spacing w:after="0"/>
        <w:ind w:firstLine="284"/>
        <w:jc w:val="both"/>
        <w:rPr>
          <w:rFonts w:ascii="Palatino Linotype" w:eastAsia="Palatino Linotype" w:hAnsi="Palatino Linotype" w:cs="Palatino Linotype"/>
          <w:sz w:val="20"/>
          <w:szCs w:val="20"/>
          <w:shd w:val="clear" w:color="auto" w:fill="D5A6BE"/>
          <w:lang w:val="en-US"/>
        </w:rPr>
      </w:pPr>
      <w:r w:rsidRPr="00927D2C">
        <w:rPr>
          <w:rFonts w:ascii="Palatino Linotype" w:eastAsia="Palatino Linotype" w:hAnsi="Palatino Linotype" w:cs="Palatino Linotype"/>
          <w:sz w:val="20"/>
          <w:szCs w:val="20"/>
          <w:lang w:val="en-US"/>
        </w:rPr>
        <w:t xml:space="preserve">Other than the electric power generation, the dam also </w:t>
      </w:r>
      <w:r w:rsidR="00927D2C" w:rsidRPr="00927D2C">
        <w:rPr>
          <w:rFonts w:ascii="Palatino Linotype" w:eastAsia="Palatino Linotype" w:hAnsi="Palatino Linotype" w:cs="Palatino Linotype"/>
          <w:sz w:val="20"/>
          <w:szCs w:val="20"/>
          <w:lang w:val="en-US"/>
        </w:rPr>
        <w:t>damps</w:t>
      </w:r>
      <w:r w:rsidRPr="00927D2C">
        <w:rPr>
          <w:rFonts w:ascii="Palatino Linotype" w:eastAsia="Palatino Linotype" w:hAnsi="Palatino Linotype" w:cs="Palatino Linotype"/>
          <w:sz w:val="20"/>
          <w:szCs w:val="20"/>
          <w:lang w:val="en-US"/>
        </w:rPr>
        <w:t xml:space="preserve"> the peak flood of rain episodes and </w:t>
      </w:r>
      <w:proofErr w:type="gramStart"/>
      <w:r w:rsidRPr="00927D2C">
        <w:rPr>
          <w:rFonts w:ascii="Palatino Linotype" w:eastAsia="Palatino Linotype" w:hAnsi="Palatino Linotype" w:cs="Palatino Linotype"/>
          <w:sz w:val="20"/>
          <w:szCs w:val="20"/>
          <w:lang w:val="en-US"/>
        </w:rPr>
        <w:t>provide</w:t>
      </w:r>
      <w:proofErr w:type="gramEnd"/>
      <w:r w:rsidRPr="00927D2C">
        <w:rPr>
          <w:rFonts w:ascii="Palatino Linotype" w:eastAsia="Palatino Linotype" w:hAnsi="Palatino Linotype" w:cs="Palatino Linotype"/>
          <w:sz w:val="20"/>
          <w:szCs w:val="20"/>
          <w:lang w:val="en-US"/>
        </w:rPr>
        <w:t xml:space="preserve"> for the cities Mogi-Mirim and Mogi-Guaçu. Both towns have high susceptibility areas in their urban area to floods throughout the Mogi-Guaçu river banks downstream of the dam.</w:t>
      </w:r>
    </w:p>
    <w:p w:rsidR="00797A6E" w:rsidRPr="00927D2C" w:rsidRDefault="000D7BD9">
      <w:pPr>
        <w:pBdr>
          <w:top w:val="nil"/>
          <w:left w:val="nil"/>
          <w:bottom w:val="nil"/>
          <w:right w:val="nil"/>
          <w:between w:val="nil"/>
        </w:pBdr>
        <w:spacing w:before="360" w:after="200" w:line="240" w:lineRule="auto"/>
        <w:rPr>
          <w:rFonts w:ascii="Palatino Linotype" w:eastAsia="Palatino Linotype" w:hAnsi="Palatino Linotype" w:cs="Palatino Linotype"/>
          <w:b/>
          <w:color w:val="000000"/>
          <w:shd w:val="clear" w:color="auto" w:fill="D5A6BE"/>
          <w:lang w:val="en-US"/>
        </w:rPr>
      </w:pPr>
      <w:r w:rsidRPr="00927D2C">
        <w:rPr>
          <w:rFonts w:ascii="Palatino Linotype" w:eastAsia="Palatino Linotype" w:hAnsi="Palatino Linotype" w:cs="Palatino Linotype"/>
          <w:b/>
          <w:color w:val="000000"/>
          <w:lang w:val="en-US"/>
        </w:rPr>
        <w:t>2.2 Primary data gath</w:t>
      </w:r>
      <w:r w:rsidRPr="00927D2C">
        <w:rPr>
          <w:rFonts w:ascii="Palatino Linotype" w:eastAsia="Palatino Linotype" w:hAnsi="Palatino Linotype" w:cs="Palatino Linotype"/>
          <w:b/>
          <w:lang w:val="en-US"/>
        </w:rPr>
        <w:t>ering</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Primary data gathering in the Mogi-Guaçu reservoir took place in two surveys. The first one, representing the rainy season, happened on </w:t>
      </w:r>
      <w:r w:rsidR="00927D2C" w:rsidRPr="00927D2C">
        <w:rPr>
          <w:rFonts w:ascii="Palatino Linotype" w:eastAsia="Palatino Linotype" w:hAnsi="Palatino Linotype" w:cs="Palatino Linotype"/>
          <w:sz w:val="20"/>
          <w:szCs w:val="20"/>
          <w:lang w:val="en-US"/>
        </w:rPr>
        <w:t>January</w:t>
      </w:r>
      <w:r w:rsidRPr="00927D2C">
        <w:rPr>
          <w:rFonts w:ascii="Palatino Linotype" w:eastAsia="Palatino Linotype" w:hAnsi="Palatino Linotype" w:cs="Palatino Linotype"/>
          <w:sz w:val="20"/>
          <w:szCs w:val="20"/>
          <w:lang w:val="en-US"/>
        </w:rPr>
        <w:t xml:space="preserve"> 25, 27, 28 and 29, 2014. The second one, representing the drought season, happened on </w:t>
      </w:r>
      <w:r w:rsidR="00927D2C" w:rsidRPr="00927D2C">
        <w:rPr>
          <w:rFonts w:ascii="Palatino Linotype" w:eastAsia="Palatino Linotype" w:hAnsi="Palatino Linotype" w:cs="Palatino Linotype"/>
          <w:sz w:val="20"/>
          <w:szCs w:val="20"/>
          <w:lang w:val="en-US"/>
        </w:rPr>
        <w:t>March</w:t>
      </w:r>
      <w:r w:rsidRPr="00927D2C">
        <w:rPr>
          <w:rFonts w:ascii="Palatino Linotype" w:eastAsia="Palatino Linotype" w:hAnsi="Palatino Linotype" w:cs="Palatino Linotype"/>
          <w:sz w:val="20"/>
          <w:szCs w:val="20"/>
          <w:lang w:val="en-US"/>
        </w:rPr>
        <w:t xml:space="preserve"> 18, 19 and 20, 2014.</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lastRenderedPageBreak/>
        <w:t>For that, the reservoir was strategically divided into 20 sampling locations for a better understanding of the sediment transport throughout it, whereas each location was located approximately over the talweg (Figure 3). Moreover, measurements were made throughout the cross section on locations 12, 14, 16 and 20, located in the reservoir’s main channel. It is worth noting that on the second survey, there were algae preventing the access to location 20, therefore the measurements were up to location 19.</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noProof/>
          <w:sz w:val="20"/>
          <w:szCs w:val="20"/>
        </w:rPr>
        <w:drawing>
          <wp:inline distT="0" distB="0" distL="0" distR="0">
            <wp:extent cx="4020262" cy="2434383"/>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a:stretch>
                      <a:fillRect/>
                    </a:stretch>
                  </pic:blipFill>
                  <pic:spPr>
                    <a:xfrm>
                      <a:off x="0" y="0"/>
                      <a:ext cx="4020262" cy="2434383"/>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color w:val="000000"/>
          <w:sz w:val="16"/>
          <w:szCs w:val="16"/>
          <w:lang w:val="en-US"/>
        </w:rPr>
        <w:t>Figur</w:t>
      </w:r>
      <w:r w:rsidRPr="00927D2C">
        <w:rPr>
          <w:rFonts w:ascii="Palatino Linotype" w:eastAsia="Palatino Linotype" w:hAnsi="Palatino Linotype" w:cs="Palatino Linotype"/>
          <w:sz w:val="16"/>
          <w:szCs w:val="16"/>
          <w:lang w:val="en-US"/>
        </w:rPr>
        <w:t>e</w:t>
      </w:r>
      <w:r w:rsidRPr="00927D2C">
        <w:rPr>
          <w:rFonts w:ascii="Palatino Linotype" w:eastAsia="Palatino Linotype" w:hAnsi="Palatino Linotype" w:cs="Palatino Linotype"/>
          <w:color w:val="000000"/>
          <w:sz w:val="16"/>
          <w:szCs w:val="16"/>
          <w:lang w:val="en-US"/>
        </w:rPr>
        <w:t xml:space="preserve"> 3 – Mogi</w:t>
      </w:r>
      <w:r w:rsidRPr="00927D2C">
        <w:rPr>
          <w:rFonts w:ascii="Palatino Linotype" w:eastAsia="Palatino Linotype" w:hAnsi="Palatino Linotype" w:cs="Palatino Linotype"/>
          <w:sz w:val="16"/>
          <w:szCs w:val="16"/>
          <w:lang w:val="en-US"/>
        </w:rPr>
        <w:t>-Guaçu reservoir sampling locations</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FIPAI (2015)</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The precise location of the sampling locations was obtained using a high precision GPS receptor, model GS20, with an antenna, model AT 201 from Leica Geosystems, that was installed along a 1,200 </w:t>
      </w:r>
      <w:proofErr w:type="gramStart"/>
      <w:r w:rsidRPr="00927D2C">
        <w:rPr>
          <w:rFonts w:ascii="Palatino Linotype" w:eastAsia="Palatino Linotype" w:hAnsi="Palatino Linotype" w:cs="Palatino Linotype"/>
          <w:sz w:val="20"/>
          <w:szCs w:val="20"/>
          <w:lang w:val="en-US"/>
        </w:rPr>
        <w:t>kHZ</w:t>
      </w:r>
      <w:proofErr w:type="gramEnd"/>
      <w:r w:rsidRPr="00927D2C">
        <w:rPr>
          <w:rFonts w:ascii="Palatino Linotype" w:eastAsia="Palatino Linotype" w:hAnsi="Palatino Linotype" w:cs="Palatino Linotype"/>
          <w:sz w:val="20"/>
          <w:szCs w:val="20"/>
          <w:lang w:val="en-US"/>
        </w:rPr>
        <w:t xml:space="preserve"> ADCP. The ADCP was coupled besides the ship pointing downwards, approximately 40 cm deep (Figure 4). ADCPs uses the Doppler Effect, assess the water discharge mean direction, projecting the velocity onto a normal plane in this direction. This project</w:t>
      </w:r>
      <w:r w:rsidR="00927D2C">
        <w:rPr>
          <w:rFonts w:ascii="Palatino Linotype" w:eastAsia="Palatino Linotype" w:hAnsi="Palatino Linotype" w:cs="Palatino Linotype"/>
          <w:sz w:val="20"/>
          <w:szCs w:val="20"/>
          <w:lang w:val="en-US"/>
        </w:rPr>
        <w:t>ion</w:t>
      </w:r>
      <w:r w:rsidRPr="00927D2C">
        <w:rPr>
          <w:rFonts w:ascii="Palatino Linotype" w:eastAsia="Palatino Linotype" w:hAnsi="Palatino Linotype" w:cs="Palatino Linotype"/>
          <w:sz w:val="20"/>
          <w:szCs w:val="20"/>
          <w:lang w:val="en-US"/>
        </w:rPr>
        <w:t xml:space="preserve"> allows the calculation of the water discharge. In short, the ADCP supplied hydraulic data for width, depth, total section area, velocity, water discharge, among other </w:t>
      </w:r>
      <w:r w:rsidR="00927D2C" w:rsidRPr="00927D2C">
        <w:rPr>
          <w:rFonts w:ascii="Palatino Linotype" w:eastAsia="Palatino Linotype" w:hAnsi="Palatino Linotype" w:cs="Palatino Linotype"/>
          <w:sz w:val="20"/>
          <w:szCs w:val="20"/>
          <w:lang w:val="en-US"/>
        </w:rPr>
        <w:t>information</w:t>
      </w:r>
      <w:r w:rsidRPr="00927D2C">
        <w:rPr>
          <w:rFonts w:ascii="Palatino Linotype" w:eastAsia="Palatino Linotype" w:hAnsi="Palatino Linotype" w:cs="Palatino Linotype"/>
          <w:sz w:val="20"/>
          <w:szCs w:val="20"/>
          <w:lang w:val="en-US"/>
        </w:rPr>
        <w:t xml:space="preserve">. The measurements were done two to four times in the same section to obtain </w:t>
      </w:r>
      <w:r w:rsidR="00927D2C" w:rsidRPr="00927D2C">
        <w:rPr>
          <w:rFonts w:ascii="Palatino Linotype" w:eastAsia="Palatino Linotype" w:hAnsi="Palatino Linotype" w:cs="Palatino Linotype"/>
          <w:sz w:val="20"/>
          <w:szCs w:val="20"/>
          <w:lang w:val="en-US"/>
        </w:rPr>
        <w:t>a</w:t>
      </w:r>
      <w:r w:rsidRPr="00927D2C">
        <w:rPr>
          <w:rFonts w:ascii="Palatino Linotype" w:eastAsia="Palatino Linotype" w:hAnsi="Palatino Linotype" w:cs="Palatino Linotype"/>
          <w:sz w:val="20"/>
          <w:szCs w:val="20"/>
          <w:lang w:val="en-US"/>
        </w:rPr>
        <w:t xml:space="preserve"> mean value, reminding that the ADCP can’t measure all the cross section.</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noProof/>
          <w:sz w:val="20"/>
          <w:szCs w:val="20"/>
        </w:rPr>
        <w:drawing>
          <wp:inline distT="0" distB="0" distL="0" distR="0">
            <wp:extent cx="1725283" cy="2363638"/>
            <wp:effectExtent l="19050" t="0" r="8267"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cstate="print"/>
                    <a:srcRect/>
                    <a:stretch>
                      <a:fillRect/>
                    </a:stretch>
                  </pic:blipFill>
                  <pic:spPr>
                    <a:xfrm>
                      <a:off x="0" y="0"/>
                      <a:ext cx="1726489" cy="2365291"/>
                    </a:xfrm>
                    <a:prstGeom prst="rect">
                      <a:avLst/>
                    </a:prstGeom>
                    <a:ln/>
                  </pic:spPr>
                </pic:pic>
              </a:graphicData>
            </a:graphic>
          </wp:inline>
        </w:drawing>
      </w:r>
      <w:r w:rsidRPr="00927D2C">
        <w:rPr>
          <w:rFonts w:ascii="Palatino Linotype" w:eastAsia="Palatino Linotype" w:hAnsi="Palatino Linotype" w:cs="Palatino Linotype"/>
          <w:noProof/>
          <w:sz w:val="20"/>
          <w:szCs w:val="20"/>
        </w:rPr>
        <w:drawing>
          <wp:inline distT="0" distB="0" distL="0" distR="0">
            <wp:extent cx="3148641" cy="2372264"/>
            <wp:effectExtent l="1905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cstate="print"/>
                    <a:srcRect/>
                    <a:stretch>
                      <a:fillRect/>
                    </a:stretch>
                  </pic:blipFill>
                  <pic:spPr>
                    <a:xfrm>
                      <a:off x="0" y="0"/>
                      <a:ext cx="3149783" cy="2373124"/>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color w:val="000000"/>
          <w:sz w:val="16"/>
          <w:szCs w:val="16"/>
          <w:lang w:val="en-US"/>
        </w:rPr>
        <w:t>Figu</w:t>
      </w:r>
      <w:r w:rsidRPr="00927D2C">
        <w:rPr>
          <w:rFonts w:ascii="Palatino Linotype" w:eastAsia="Palatino Linotype" w:hAnsi="Palatino Linotype" w:cs="Palatino Linotype"/>
          <w:sz w:val="16"/>
          <w:szCs w:val="16"/>
          <w:lang w:val="en-US"/>
        </w:rPr>
        <w:t>re</w:t>
      </w:r>
      <w:r w:rsidRPr="00927D2C">
        <w:rPr>
          <w:rFonts w:ascii="Palatino Linotype" w:eastAsia="Palatino Linotype" w:hAnsi="Palatino Linotype" w:cs="Palatino Linotype"/>
          <w:color w:val="000000"/>
          <w:sz w:val="16"/>
          <w:szCs w:val="16"/>
          <w:lang w:val="en-US"/>
        </w:rPr>
        <w:t xml:space="preserve"> 4 –</w:t>
      </w:r>
      <w:r w:rsidRPr="00927D2C">
        <w:rPr>
          <w:rFonts w:ascii="Palatino Linotype" w:eastAsia="Palatino Linotype" w:hAnsi="Palatino Linotype" w:cs="Palatino Linotype"/>
          <w:sz w:val="16"/>
          <w:szCs w:val="16"/>
          <w:lang w:val="en-US"/>
        </w:rPr>
        <w:t xml:space="preserve"> ADCP assembly design with GPS antenna inside the boat (Left); ADP not yet submerged (Right)</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xml:space="preserve">: </w:t>
      </w:r>
      <w:r w:rsidRPr="00927D2C">
        <w:rPr>
          <w:rFonts w:ascii="Palatino Linotype" w:eastAsia="Palatino Linotype" w:hAnsi="Palatino Linotype" w:cs="Palatino Linotype"/>
          <w:sz w:val="16"/>
          <w:szCs w:val="16"/>
          <w:lang w:val="en-US"/>
        </w:rPr>
        <w:t>Authors</w:t>
      </w:r>
    </w:p>
    <w:p w:rsidR="00797A6E" w:rsidRPr="00927D2C" w:rsidRDefault="00797A6E">
      <w:pPr>
        <w:spacing w:after="0"/>
        <w:ind w:firstLine="284"/>
        <w:jc w:val="center"/>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Samples of the suspended sediment concentration (SSC) were collected using the Van Dorn Bottle to sample water-sediment at the surface, approximately 1 meter deep, and close to the bottom, at least 0.5 m distant from the riverbed). All procedures to determine the concentration of suspended solids were carried out following the norms and procedures proposed in the Standard Methods for Examination of Water and Wastewater (APHA, 1995).</w:t>
      </w:r>
    </w:p>
    <w:p w:rsidR="00797A6E" w:rsidRPr="00BA6EAB" w:rsidRDefault="000D7BD9">
      <w:pPr>
        <w:pBdr>
          <w:top w:val="nil"/>
          <w:left w:val="nil"/>
          <w:bottom w:val="nil"/>
          <w:right w:val="nil"/>
          <w:between w:val="nil"/>
        </w:pBdr>
        <w:spacing w:before="360" w:after="200" w:line="240" w:lineRule="auto"/>
        <w:rPr>
          <w:rFonts w:ascii="Palatino Linotype" w:eastAsia="Palatino Linotype" w:hAnsi="Palatino Linotype" w:cs="Palatino Linotype"/>
          <w:b/>
          <w:color w:val="000000"/>
          <w:lang w:val="en-US"/>
        </w:rPr>
      </w:pPr>
      <w:r w:rsidRPr="00643064">
        <w:rPr>
          <w:rFonts w:ascii="Palatino Linotype" w:eastAsia="Palatino Linotype" w:hAnsi="Palatino Linotype" w:cs="Palatino Linotype"/>
          <w:b/>
          <w:color w:val="000000"/>
          <w:lang w:val="en-US"/>
        </w:rPr>
        <w:t>2.</w:t>
      </w:r>
      <w:r w:rsidRPr="00BA6EAB">
        <w:rPr>
          <w:rFonts w:ascii="Palatino Linotype" w:eastAsia="Palatino Linotype" w:hAnsi="Palatino Linotype" w:cs="Palatino Linotype"/>
          <w:b/>
          <w:color w:val="000000"/>
          <w:lang w:val="en-US"/>
        </w:rPr>
        <w:t xml:space="preserve">3 </w:t>
      </w:r>
      <w:r w:rsidR="00BA6EAB" w:rsidRPr="00BA6EAB">
        <w:rPr>
          <w:rFonts w:ascii="Palatino Linotype" w:eastAsia="Palatino Linotype" w:hAnsi="Palatino Linotype" w:cs="Palatino Linotype"/>
          <w:b/>
          <w:color w:val="000000"/>
          <w:lang w:val="en-US"/>
        </w:rPr>
        <w:t>Total sediment discharge calculation’s implementation</w:t>
      </w:r>
    </w:p>
    <w:p w:rsidR="00797A6E" w:rsidRPr="00643064"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The computational tool (NH Statistic and Sediment) was written in Visual Basic for Applications (VBA) programming language. This type of language was chosen due to the abundance and flexibility of its features, and mainly due to the great availability and ease of access, user-friendly and intuitive interface, including interactivity with Access® databases.</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Among the methods to determine and assess the total sediment discharge, Colby's simplified procedure (COLBY, 1957) was chosen. According to Miranda (2015), this method compared to the Einstein procedure modified by Colby and Hembree (1955) requires less data, which makes it more economical and easier, precisely by the reduction of field and laboratory work.</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Colby (1957) showed correlations between unmeasured sediment discharge with mean velocity and </w:t>
      </w:r>
      <w:r w:rsidR="00BA6EAB" w:rsidRPr="00927D2C">
        <w:rPr>
          <w:rFonts w:ascii="Palatino Linotype" w:eastAsia="Palatino Linotype" w:hAnsi="Palatino Linotype" w:cs="Palatino Linotype"/>
          <w:sz w:val="20"/>
          <w:szCs w:val="20"/>
          <w:lang w:val="en-US"/>
        </w:rPr>
        <w:t>concentration and</w:t>
      </w:r>
      <w:r w:rsidRPr="00927D2C">
        <w:rPr>
          <w:rFonts w:ascii="Palatino Linotype" w:eastAsia="Palatino Linotype" w:hAnsi="Palatino Linotype" w:cs="Palatino Linotype"/>
          <w:sz w:val="20"/>
          <w:szCs w:val="20"/>
          <w:lang w:val="en-US"/>
        </w:rPr>
        <w:t xml:space="preserve"> verified the possibility of these correlations being successfully applied to several types of sediment assessments. Thus, the total sediment discharge is given by Equation 1.</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B45855">
      <w:pPr>
        <w:spacing w:after="0"/>
        <w:jc w:val="both"/>
        <w:rPr>
          <w:rFonts w:ascii="Palatino Linotype" w:eastAsia="Palatino Linotype" w:hAnsi="Palatino Linotype" w:cs="Palatino Linotype"/>
          <w:sz w:val="20"/>
          <w:szCs w:val="20"/>
          <w:lang w:val="en-US"/>
        </w:rPr>
      </w:pPr>
      <m:oMath>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Q</m:t>
            </m:r>
          </m:e>
          <m:sub>
            <m:r>
              <w:rPr>
                <w:rFonts w:ascii="Cambria Math" w:eastAsia="Cambria Math" w:hAnsi="Cambria Math" w:cs="Cambria Math"/>
                <w:sz w:val="24"/>
                <w:szCs w:val="24"/>
                <w:lang w:val="en-US"/>
              </w:rPr>
              <m:t>st</m:t>
            </m:r>
          </m:sub>
        </m:sSub>
        <m:r>
          <w:rPr>
            <w:rFonts w:ascii="Cambria Math" w:eastAsia="Cambria Math" w:hAnsi="Cambria Math" w:cs="Cambria Math"/>
            <w:sz w:val="24"/>
            <w:szCs w:val="24"/>
            <w:lang w:val="en-US"/>
          </w:rPr>
          <m:t>=</m:t>
        </m:r>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Q</m:t>
            </m:r>
          </m:e>
          <m:sub>
            <m:r>
              <w:rPr>
                <w:rFonts w:ascii="Cambria Math" w:eastAsia="Cambria Math" w:hAnsi="Cambria Math" w:cs="Cambria Math"/>
                <w:sz w:val="24"/>
                <w:szCs w:val="24"/>
                <w:lang w:val="en-US"/>
              </w:rPr>
              <m:t>sm</m:t>
            </m:r>
          </m:sub>
        </m:sSub>
        <m:r>
          <w:rPr>
            <w:rFonts w:ascii="Cambria Math" w:eastAsia="Cambria Math" w:hAnsi="Cambria Math" w:cs="Cambria Math"/>
            <w:sz w:val="24"/>
            <w:szCs w:val="24"/>
            <w:lang w:val="en-US"/>
          </w:rPr>
          <m:t>+</m:t>
        </m:r>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Q</m:t>
            </m:r>
          </m:e>
          <m:sub>
            <m:r>
              <w:rPr>
                <w:rFonts w:ascii="Cambria Math" w:eastAsia="Cambria Math" w:hAnsi="Cambria Math" w:cs="Cambria Math"/>
                <w:sz w:val="24"/>
                <w:szCs w:val="24"/>
                <w:lang w:val="en-US"/>
              </w:rPr>
              <m:t>nm</m:t>
            </m:r>
          </m:sub>
        </m:sSub>
      </m:oMath>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4"/>
          <w:szCs w:val="24"/>
          <w:lang w:val="en-US"/>
        </w:rPr>
        <w:tab/>
      </w:r>
      <w:r w:rsidR="000D7BD9" w:rsidRPr="00927D2C">
        <w:rPr>
          <w:rFonts w:ascii="Palatino Linotype" w:eastAsia="Palatino Linotype" w:hAnsi="Palatino Linotype" w:cs="Palatino Linotype"/>
          <w:sz w:val="20"/>
          <w:szCs w:val="20"/>
          <w:lang w:val="en-US"/>
        </w:rPr>
        <w:t>(1)</w:t>
      </w:r>
    </w:p>
    <w:p w:rsidR="005946FD" w:rsidRDefault="005946FD">
      <w:pPr>
        <w:spacing w:after="0"/>
        <w:jc w:val="both"/>
        <w:rPr>
          <w:rFonts w:ascii="Palatino Linotype" w:eastAsia="Palatino Linotype" w:hAnsi="Palatino Linotype" w:cs="Palatino Linotype"/>
          <w:sz w:val="20"/>
          <w:szCs w:val="20"/>
          <w:lang w:val="en-US"/>
        </w:rPr>
      </w:pP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Where:</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Q</w:t>
      </w:r>
      <w:r w:rsidRPr="00927D2C">
        <w:rPr>
          <w:rFonts w:ascii="Palatino Linotype" w:eastAsia="Palatino Linotype" w:hAnsi="Palatino Linotype" w:cs="Palatino Linotype"/>
          <w:sz w:val="20"/>
          <w:szCs w:val="20"/>
          <w:vertAlign w:val="subscript"/>
          <w:lang w:val="en-US"/>
        </w:rPr>
        <w:t>st</w:t>
      </w:r>
      <w:r w:rsidRPr="00927D2C">
        <w:rPr>
          <w:rFonts w:ascii="Palatino Linotype" w:eastAsia="Palatino Linotype" w:hAnsi="Palatino Linotype" w:cs="Palatino Linotype"/>
          <w:sz w:val="20"/>
          <w:szCs w:val="20"/>
          <w:lang w:val="en-US"/>
        </w:rPr>
        <w:t xml:space="preserve"> = total sediment discharge [t.day</w:t>
      </w:r>
      <w:r w:rsidRPr="00927D2C">
        <w:rPr>
          <w:rFonts w:ascii="Palatino Linotype" w:eastAsia="Palatino Linotype" w:hAnsi="Palatino Linotype" w:cs="Palatino Linotype"/>
          <w:sz w:val="20"/>
          <w:szCs w:val="20"/>
          <w:vertAlign w:val="superscript"/>
          <w:lang w:val="en-US"/>
        </w:rPr>
        <w:t>-1</w:t>
      </w:r>
      <w:r w:rsidRPr="00927D2C">
        <w:rPr>
          <w:rFonts w:ascii="Palatino Linotype" w:eastAsia="Palatino Linotype" w:hAnsi="Palatino Linotype" w:cs="Palatino Linotype"/>
          <w:sz w:val="20"/>
          <w:szCs w:val="20"/>
          <w:lang w:val="en-US"/>
        </w:rPr>
        <w:t>];</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Q</w:t>
      </w:r>
      <w:r w:rsidRPr="00927D2C">
        <w:rPr>
          <w:rFonts w:ascii="Palatino Linotype" w:eastAsia="Palatino Linotype" w:hAnsi="Palatino Linotype" w:cs="Palatino Linotype"/>
          <w:sz w:val="20"/>
          <w:szCs w:val="20"/>
          <w:vertAlign w:val="subscript"/>
          <w:lang w:val="en-US"/>
        </w:rPr>
        <w:t>ss</w:t>
      </w:r>
      <w:r w:rsidRPr="00927D2C">
        <w:rPr>
          <w:rFonts w:ascii="Palatino Linotype" w:eastAsia="Palatino Linotype" w:hAnsi="Palatino Linotype" w:cs="Palatino Linotype"/>
          <w:sz w:val="20"/>
          <w:szCs w:val="20"/>
          <w:lang w:val="en-US"/>
        </w:rPr>
        <w:t xml:space="preserve"> = measured sediment [t.day</w:t>
      </w:r>
      <w:r w:rsidRPr="00927D2C">
        <w:rPr>
          <w:rFonts w:ascii="Palatino Linotype" w:eastAsia="Palatino Linotype" w:hAnsi="Palatino Linotype" w:cs="Palatino Linotype"/>
          <w:sz w:val="20"/>
          <w:szCs w:val="20"/>
          <w:vertAlign w:val="superscript"/>
          <w:lang w:val="en-US"/>
        </w:rPr>
        <w:t>-1</w:t>
      </w:r>
      <w:r w:rsidRPr="00927D2C">
        <w:rPr>
          <w:rFonts w:ascii="Palatino Linotype" w:eastAsia="Palatino Linotype" w:hAnsi="Palatino Linotype" w:cs="Palatino Linotype"/>
          <w:sz w:val="20"/>
          <w:szCs w:val="20"/>
          <w:lang w:val="en-US"/>
        </w:rPr>
        <w:t>];</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Q</w:t>
      </w:r>
      <w:r w:rsidRPr="00927D2C">
        <w:rPr>
          <w:rFonts w:ascii="Palatino Linotype" w:eastAsia="Palatino Linotype" w:hAnsi="Palatino Linotype" w:cs="Palatino Linotype"/>
          <w:sz w:val="20"/>
          <w:szCs w:val="20"/>
          <w:vertAlign w:val="subscript"/>
          <w:lang w:val="en-US"/>
        </w:rPr>
        <w:t>nm</w:t>
      </w:r>
      <w:r w:rsidRPr="00927D2C">
        <w:rPr>
          <w:rFonts w:ascii="Palatino Linotype" w:eastAsia="Palatino Linotype" w:hAnsi="Palatino Linotype" w:cs="Palatino Linotype"/>
          <w:sz w:val="20"/>
          <w:szCs w:val="20"/>
          <w:lang w:val="en-US"/>
        </w:rPr>
        <w:t xml:space="preserve"> = unmeasured sediment [t.day</w:t>
      </w:r>
      <w:r w:rsidRPr="00927D2C">
        <w:rPr>
          <w:rFonts w:ascii="Palatino Linotype" w:eastAsia="Palatino Linotype" w:hAnsi="Palatino Linotype" w:cs="Palatino Linotype"/>
          <w:sz w:val="20"/>
          <w:szCs w:val="20"/>
          <w:vertAlign w:val="superscript"/>
          <w:lang w:val="en-US"/>
        </w:rPr>
        <w:t>-1</w:t>
      </w:r>
      <w:r w:rsidRPr="00927D2C">
        <w:rPr>
          <w:rFonts w:ascii="Palatino Linotype" w:eastAsia="Palatino Linotype" w:hAnsi="Palatino Linotype" w:cs="Palatino Linotype"/>
          <w:sz w:val="20"/>
          <w:szCs w:val="20"/>
          <w:lang w:val="en-US"/>
        </w:rPr>
        <w:t>];</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The measured sediment (Q</w:t>
      </w:r>
      <w:r w:rsidRPr="00927D2C">
        <w:rPr>
          <w:rFonts w:ascii="Palatino Linotype" w:eastAsia="Palatino Linotype" w:hAnsi="Palatino Linotype" w:cs="Palatino Linotype"/>
          <w:sz w:val="20"/>
          <w:szCs w:val="20"/>
          <w:vertAlign w:val="subscript"/>
          <w:lang w:val="en-US"/>
        </w:rPr>
        <w:t>sm</w:t>
      </w:r>
      <w:r w:rsidRPr="00927D2C">
        <w:rPr>
          <w:rFonts w:ascii="Palatino Linotype" w:eastAsia="Palatino Linotype" w:hAnsi="Palatino Linotype" w:cs="Palatino Linotype"/>
          <w:sz w:val="20"/>
          <w:szCs w:val="20"/>
          <w:lang w:val="en-US"/>
        </w:rPr>
        <w:t>) can be obtained by calculating the suspended load (Equation 2). However, the unmeasured sediment (Qnm), given by Equation 3, which represents the integration of  bed load with unmeasured load, is estimated with the aid of abacuses, knowing the mean velocity (ms-1), depth (m), measured concentration (ppm) and section width (m) (CARVALHO, 2008).</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B45855">
      <w:pPr>
        <w:spacing w:after="0"/>
        <w:jc w:val="both"/>
        <w:rPr>
          <w:rFonts w:ascii="Palatino Linotype" w:eastAsia="Palatino Linotype" w:hAnsi="Palatino Linotype" w:cs="Palatino Linotype"/>
          <w:sz w:val="20"/>
          <w:szCs w:val="20"/>
          <w:lang w:val="en-US"/>
        </w:rPr>
      </w:pPr>
      <m:oMath>
        <m:sSub>
          <m:sSubPr>
            <m:ctrlPr>
              <w:rPr>
                <w:rFonts w:ascii="Cambria Math" w:eastAsia="Cambria Math" w:hAnsi="Cambria Math" w:cs="Cambria Math"/>
                <w:sz w:val="20"/>
                <w:szCs w:val="20"/>
                <w:lang w:val="en-US"/>
              </w:rPr>
            </m:ctrlPr>
          </m:sSubPr>
          <m:e>
            <m:r>
              <w:rPr>
                <w:rFonts w:ascii="Cambria Math" w:eastAsia="Cambria Math" w:hAnsi="Cambria Math" w:cs="Cambria Math"/>
                <w:sz w:val="20"/>
                <w:szCs w:val="20"/>
                <w:lang w:val="en-US"/>
              </w:rPr>
              <m:t>Q</m:t>
            </m:r>
          </m:e>
          <m:sub>
            <m:r>
              <w:rPr>
                <w:rFonts w:ascii="Cambria Math" w:eastAsia="Cambria Math" w:hAnsi="Cambria Math" w:cs="Cambria Math"/>
                <w:sz w:val="20"/>
                <w:szCs w:val="20"/>
                <w:lang w:val="en-US"/>
              </w:rPr>
              <m:t>sm</m:t>
            </m:r>
          </m:sub>
        </m:sSub>
        <m:r>
          <w:rPr>
            <w:rFonts w:ascii="Cambria Math" w:eastAsia="Cambria Math" w:hAnsi="Cambria Math" w:cs="Cambria Math"/>
            <w:sz w:val="20"/>
            <w:szCs w:val="20"/>
            <w:lang w:val="en-US"/>
          </w:rPr>
          <m:t>=0.0864∙Q∙CSS</m:t>
        </m:r>
      </m:oMath>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t>(2)</w:t>
      </w:r>
    </w:p>
    <w:p w:rsidR="00797A6E" w:rsidRPr="00927D2C" w:rsidRDefault="00B45855">
      <w:pPr>
        <w:spacing w:after="0"/>
        <w:jc w:val="both"/>
        <w:rPr>
          <w:rFonts w:ascii="Palatino Linotype" w:eastAsia="Palatino Linotype" w:hAnsi="Palatino Linotype" w:cs="Palatino Linotype"/>
          <w:i/>
          <w:sz w:val="20"/>
          <w:szCs w:val="20"/>
          <w:lang w:val="en-US"/>
        </w:rPr>
      </w:pPr>
      <m:oMath>
        <m:sSub>
          <m:sSubPr>
            <m:ctrlPr>
              <w:rPr>
                <w:rFonts w:ascii="Cambria Math" w:eastAsia="Cambria Math" w:hAnsi="Cambria Math" w:cs="Cambria Math"/>
                <w:sz w:val="20"/>
                <w:szCs w:val="20"/>
                <w:lang w:val="en-US"/>
              </w:rPr>
            </m:ctrlPr>
          </m:sSubPr>
          <m:e>
            <m:r>
              <w:rPr>
                <w:rFonts w:ascii="Cambria Math" w:eastAsia="Cambria Math" w:hAnsi="Cambria Math" w:cs="Cambria Math"/>
                <w:sz w:val="20"/>
                <w:szCs w:val="20"/>
                <w:lang w:val="en-US"/>
              </w:rPr>
              <m:t>Q</m:t>
            </m:r>
          </m:e>
          <m:sub>
            <m:r>
              <w:rPr>
                <w:rFonts w:ascii="Cambria Math" w:eastAsia="Cambria Math" w:hAnsi="Cambria Math" w:cs="Cambria Math"/>
                <w:sz w:val="20"/>
                <w:szCs w:val="20"/>
                <w:lang w:val="en-US"/>
              </w:rPr>
              <m:t>nm</m:t>
            </m:r>
          </m:sub>
        </m:sSub>
        <m:r>
          <w:rPr>
            <w:rFonts w:ascii="Cambria Math" w:eastAsia="Cambria Math" w:hAnsi="Cambria Math" w:cs="Cambria Math"/>
            <w:sz w:val="20"/>
            <w:szCs w:val="20"/>
            <w:lang w:val="en-US"/>
          </w:rPr>
          <m:t xml:space="preserve">= </m:t>
        </m:r>
        <m:sSubSup>
          <m:sSubSupPr>
            <m:ctrlPr>
              <w:rPr>
                <w:rFonts w:ascii="Cambria Math" w:eastAsia="Cambria Math" w:hAnsi="Cambria Math" w:cs="Cambria Math"/>
                <w:sz w:val="20"/>
                <w:szCs w:val="20"/>
                <w:lang w:val="en-US"/>
              </w:rPr>
            </m:ctrlPr>
          </m:sSubSupPr>
          <m:e>
            <m:r>
              <w:rPr>
                <w:rFonts w:ascii="Cambria Math" w:eastAsia="Cambria Math" w:hAnsi="Cambria Math" w:cs="Cambria Math"/>
                <w:sz w:val="20"/>
                <w:szCs w:val="20"/>
                <w:lang w:val="en-US"/>
              </w:rPr>
              <m:t>q</m:t>
            </m:r>
          </m:e>
          <m:sub>
            <m:r>
              <w:rPr>
                <w:rFonts w:ascii="Cambria Math" w:eastAsia="Cambria Math" w:hAnsi="Cambria Math" w:cs="Cambria Math"/>
                <w:sz w:val="20"/>
                <w:szCs w:val="20"/>
                <w:lang w:val="en-US"/>
              </w:rPr>
              <m:t>nm</m:t>
            </m:r>
          </m:sub>
          <m:sup>
            <m:r>
              <w:rPr>
                <w:rFonts w:ascii="Cambria Math" w:eastAsia="Cambria Math" w:hAnsi="Cambria Math" w:cs="Cambria Math"/>
                <w:sz w:val="20"/>
                <w:szCs w:val="20"/>
                <w:lang w:val="en-US"/>
              </w:rPr>
              <m:t>'</m:t>
            </m:r>
          </m:sup>
        </m:sSubSup>
        <m:r>
          <w:rPr>
            <w:rFonts w:ascii="Cambria Math" w:eastAsia="Cambria Math" w:hAnsi="Cambria Math" w:cs="Cambria Math"/>
            <w:sz w:val="20"/>
            <w:szCs w:val="20"/>
            <w:lang w:val="en-US"/>
          </w:rPr>
          <m:t>∙k∙L</m:t>
        </m:r>
      </m:oMath>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sz w:val="20"/>
          <w:szCs w:val="20"/>
          <w:lang w:val="en-US"/>
        </w:rPr>
        <w:t>(3)</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Where:</w:t>
      </w:r>
    </w:p>
    <w:p w:rsidR="00797A6E" w:rsidRPr="00927D2C" w:rsidRDefault="000D7BD9">
      <w:pPr>
        <w:spacing w:after="0"/>
        <w:jc w:val="both"/>
        <w:rPr>
          <w:rFonts w:ascii="Palatino Linotype" w:eastAsia="Palatino Linotype" w:hAnsi="Palatino Linotype" w:cs="Palatino Linotype"/>
          <w:sz w:val="20"/>
          <w:szCs w:val="20"/>
          <w:lang w:val="en-US"/>
        </w:rPr>
      </w:pPr>
      <m:oMath>
        <m:r>
          <w:rPr>
            <w:rFonts w:ascii="Cambria Math" w:eastAsia="Cambria Math" w:hAnsi="Cambria Math" w:cs="Cambria Math"/>
            <w:sz w:val="20"/>
            <w:szCs w:val="20"/>
            <w:lang w:val="en-US"/>
          </w:rPr>
          <m:t>Q</m:t>
        </m:r>
      </m:oMath>
      <w:r w:rsidRPr="00927D2C">
        <w:rPr>
          <w:rFonts w:ascii="Palatino Linotype" w:eastAsia="Palatino Linotype" w:hAnsi="Palatino Linotype" w:cs="Palatino Linotype"/>
          <w:sz w:val="20"/>
          <w:szCs w:val="20"/>
          <w:lang w:val="en-US"/>
        </w:rPr>
        <w:t xml:space="preserve"> = water discharge [m³.s</w:t>
      </w:r>
      <w:r w:rsidRPr="00927D2C">
        <w:rPr>
          <w:rFonts w:ascii="Palatino Linotype" w:eastAsia="Palatino Linotype" w:hAnsi="Palatino Linotype" w:cs="Palatino Linotype"/>
          <w:sz w:val="20"/>
          <w:szCs w:val="20"/>
          <w:vertAlign w:val="superscript"/>
          <w:lang w:val="en-US"/>
        </w:rPr>
        <w:t>-1</w:t>
      </w:r>
      <w:r w:rsidRPr="00927D2C">
        <w:rPr>
          <w:rFonts w:ascii="Palatino Linotype" w:eastAsia="Palatino Linotype" w:hAnsi="Palatino Linotype" w:cs="Palatino Linotype"/>
          <w:sz w:val="20"/>
          <w:szCs w:val="20"/>
          <w:lang w:val="en-US"/>
        </w:rPr>
        <w:t>];</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CSS = measured or sampled concentration [ppm = </w:t>
      </w:r>
      <w:r w:rsidR="00BA6EAB" w:rsidRPr="00927D2C">
        <w:rPr>
          <w:rFonts w:ascii="Palatino Linotype" w:eastAsia="Palatino Linotype" w:hAnsi="Palatino Linotype" w:cs="Palatino Linotype"/>
          <w:sz w:val="20"/>
          <w:szCs w:val="20"/>
          <w:lang w:val="en-US"/>
        </w:rPr>
        <w:t>mg.L</w:t>
      </w:r>
      <w:r w:rsidRPr="00927D2C">
        <w:rPr>
          <w:rFonts w:ascii="Palatino Linotype" w:eastAsia="Palatino Linotype" w:hAnsi="Palatino Linotype" w:cs="Palatino Linotype"/>
          <w:sz w:val="20"/>
          <w:szCs w:val="20"/>
          <w:vertAlign w:val="superscript"/>
          <w:lang w:val="en-US"/>
        </w:rPr>
        <w:t>-1</w:t>
      </w:r>
      <w:r w:rsidRPr="00927D2C">
        <w:rPr>
          <w:rFonts w:ascii="Palatino Linotype" w:eastAsia="Palatino Linotype" w:hAnsi="Palatino Linotype" w:cs="Palatino Linotype"/>
          <w:sz w:val="20"/>
          <w:szCs w:val="20"/>
          <w:lang w:val="en-US"/>
        </w:rPr>
        <w:t>];</w:t>
      </w:r>
    </w:p>
    <w:p w:rsidR="00797A6E" w:rsidRPr="00927D2C" w:rsidRDefault="00B45855">
      <w:pPr>
        <w:spacing w:after="0"/>
        <w:jc w:val="both"/>
        <w:rPr>
          <w:rFonts w:ascii="Palatino Linotype" w:eastAsia="Palatino Linotype" w:hAnsi="Palatino Linotype" w:cs="Palatino Linotype"/>
          <w:sz w:val="20"/>
          <w:szCs w:val="20"/>
          <w:lang w:val="en-US"/>
        </w:rPr>
      </w:pPr>
      <m:oMath>
        <m:sSubSup>
          <m:sSubSupPr>
            <m:ctrlPr>
              <w:rPr>
                <w:rFonts w:ascii="Cambria Math" w:eastAsia="Cambria Math" w:hAnsi="Cambria Math" w:cs="Cambria Math"/>
                <w:sz w:val="20"/>
                <w:szCs w:val="20"/>
                <w:lang w:val="en-US"/>
              </w:rPr>
            </m:ctrlPr>
          </m:sSubSupPr>
          <m:e>
            <m:r>
              <w:rPr>
                <w:rFonts w:ascii="Cambria Math" w:eastAsia="Cambria Math" w:hAnsi="Cambria Math" w:cs="Cambria Math"/>
                <w:sz w:val="20"/>
                <w:szCs w:val="20"/>
                <w:lang w:val="en-US"/>
              </w:rPr>
              <m:t>q</m:t>
            </m:r>
          </m:e>
          <m:sub>
            <m:r>
              <w:rPr>
                <w:rFonts w:ascii="Cambria Math" w:eastAsia="Cambria Math" w:hAnsi="Cambria Math" w:cs="Cambria Math"/>
                <w:sz w:val="20"/>
                <w:szCs w:val="20"/>
                <w:lang w:val="en-US"/>
              </w:rPr>
              <m:t>nm</m:t>
            </m:r>
          </m:sub>
          <m:sup>
            <m:r>
              <w:rPr>
                <w:rFonts w:ascii="Cambria Math" w:eastAsia="Cambria Math" w:hAnsi="Cambria Math" w:cs="Cambria Math"/>
                <w:sz w:val="20"/>
                <w:szCs w:val="20"/>
                <w:lang w:val="en-US"/>
              </w:rPr>
              <m:t>'</m:t>
            </m:r>
          </m:sup>
        </m:sSubSup>
      </m:oMath>
      <w:r w:rsidR="000D7BD9" w:rsidRPr="00927D2C">
        <w:rPr>
          <w:rFonts w:ascii="Palatino Linotype" w:eastAsia="Palatino Linotype" w:hAnsi="Palatino Linotype" w:cs="Palatino Linotype"/>
          <w:sz w:val="20"/>
          <w:szCs w:val="20"/>
          <w:lang w:val="en-US"/>
        </w:rPr>
        <w:t xml:space="preserve"> = unmeasured sediment per one meter of the water body’s cross section width [t.day</w:t>
      </w:r>
      <w:r w:rsidR="000D7BD9" w:rsidRPr="00927D2C">
        <w:rPr>
          <w:rFonts w:ascii="Palatino Linotype" w:eastAsia="Palatino Linotype" w:hAnsi="Palatino Linotype" w:cs="Palatino Linotype"/>
          <w:sz w:val="20"/>
          <w:szCs w:val="20"/>
          <w:vertAlign w:val="superscript"/>
          <w:lang w:val="en-US"/>
        </w:rPr>
        <w:t>-1</w:t>
      </w:r>
      <w:r w:rsidR="000D7BD9" w:rsidRPr="00927D2C">
        <w:rPr>
          <w:rFonts w:ascii="Palatino Linotype" w:eastAsia="Palatino Linotype" w:hAnsi="Palatino Linotype" w:cs="Palatino Linotype"/>
          <w:sz w:val="20"/>
          <w:szCs w:val="20"/>
          <w:lang w:val="en-US"/>
        </w:rPr>
        <w:t>.m</w:t>
      </w:r>
      <w:r w:rsidR="000D7BD9" w:rsidRPr="00927D2C">
        <w:rPr>
          <w:rFonts w:ascii="Palatino Linotype" w:eastAsia="Palatino Linotype" w:hAnsi="Palatino Linotype" w:cs="Palatino Linotype"/>
          <w:sz w:val="20"/>
          <w:szCs w:val="20"/>
          <w:vertAlign w:val="superscript"/>
          <w:lang w:val="en-US"/>
        </w:rPr>
        <w:t>-1</w:t>
      </w:r>
      <w:r w:rsidR="000D7BD9" w:rsidRPr="00927D2C">
        <w:rPr>
          <w:rFonts w:ascii="Palatino Linotype" w:eastAsia="Palatino Linotype" w:hAnsi="Palatino Linotype" w:cs="Palatino Linotype"/>
          <w:sz w:val="20"/>
          <w:szCs w:val="20"/>
          <w:lang w:val="en-US"/>
        </w:rPr>
        <w:t>];</w:t>
      </w:r>
    </w:p>
    <w:p w:rsidR="00797A6E" w:rsidRPr="00927D2C" w:rsidRDefault="000D7BD9">
      <w:pPr>
        <w:spacing w:after="0"/>
        <w:jc w:val="both"/>
        <w:rPr>
          <w:rFonts w:ascii="Palatino Linotype" w:eastAsia="Palatino Linotype" w:hAnsi="Palatino Linotype" w:cs="Palatino Linotype"/>
          <w:sz w:val="20"/>
          <w:szCs w:val="20"/>
          <w:lang w:val="en-US"/>
        </w:rPr>
      </w:pPr>
      <m:oMath>
        <m:r>
          <w:rPr>
            <w:rFonts w:ascii="Cambria Math" w:eastAsia="Cambria Math" w:hAnsi="Cambria Math" w:cs="Cambria Math"/>
            <w:sz w:val="20"/>
            <w:szCs w:val="20"/>
            <w:lang w:val="en-US"/>
          </w:rPr>
          <m:t>L</m:t>
        </m:r>
      </m:oMath>
      <w:r w:rsidRPr="00927D2C">
        <w:rPr>
          <w:rFonts w:ascii="Palatino Linotype" w:eastAsia="Palatino Linotype" w:hAnsi="Palatino Linotype" w:cs="Palatino Linotype"/>
          <w:sz w:val="20"/>
          <w:szCs w:val="20"/>
          <w:lang w:val="en-US"/>
        </w:rPr>
        <w:t xml:space="preserve"> = sampled cross section width [m];</w:t>
      </w:r>
    </w:p>
    <w:p w:rsidR="00797A6E" w:rsidRPr="00927D2C" w:rsidRDefault="000D7BD9">
      <w:pPr>
        <w:spacing w:after="0"/>
        <w:jc w:val="both"/>
        <w:rPr>
          <w:rFonts w:ascii="Palatino Linotype" w:eastAsia="Palatino Linotype" w:hAnsi="Palatino Linotype" w:cs="Palatino Linotype"/>
          <w:sz w:val="20"/>
          <w:szCs w:val="20"/>
          <w:lang w:val="en-US"/>
        </w:rPr>
      </w:pPr>
      <m:oMath>
        <m:r>
          <w:rPr>
            <w:rFonts w:ascii="Cambria Math" w:eastAsia="Cambria Math" w:hAnsi="Cambria Math" w:cs="Cambria Math"/>
            <w:sz w:val="20"/>
            <w:szCs w:val="20"/>
            <w:lang w:val="en-US"/>
          </w:rPr>
          <m:t>k</m:t>
        </m:r>
      </m:oMath>
      <w:r w:rsidRPr="00927D2C">
        <w:rPr>
          <w:rFonts w:ascii="Palatino Linotype" w:eastAsia="Palatino Linotype" w:hAnsi="Palatino Linotype" w:cs="Palatino Linotype"/>
          <w:sz w:val="20"/>
          <w:szCs w:val="20"/>
          <w:lang w:val="en-US"/>
        </w:rPr>
        <w:t xml:space="preserve"> = correction factor [dimensionless];</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Figure 5 contains the Abacus 1 of the simplified procedure by Colby (1957). In it</w:t>
      </w:r>
      <w:r w:rsidR="00BA6EAB">
        <w:rPr>
          <w:rFonts w:ascii="Palatino Linotype" w:eastAsia="Palatino Linotype" w:hAnsi="Palatino Linotype" w:cs="Palatino Linotype"/>
          <w:sz w:val="20"/>
          <w:szCs w:val="20"/>
          <w:lang w:val="en-US"/>
        </w:rPr>
        <w:t>, it</w:t>
      </w:r>
      <w:r w:rsidRPr="00927D2C">
        <w:rPr>
          <w:rFonts w:ascii="Palatino Linotype" w:eastAsia="Palatino Linotype" w:hAnsi="Palatino Linotype" w:cs="Palatino Linotype"/>
          <w:sz w:val="20"/>
          <w:szCs w:val="20"/>
          <w:lang w:val="en-US"/>
        </w:rPr>
        <w:t xml:space="preserve"> is possible to obtain the unmeasured sediment per meter of width of the water body from the mean water discharge velocity. The software Engauge Digitizer developed by Mitchell et al. (2018) was used to </w:t>
      </w:r>
      <w:r w:rsidRPr="00927D2C">
        <w:rPr>
          <w:rFonts w:ascii="Palatino Linotype" w:eastAsia="Palatino Linotype" w:hAnsi="Palatino Linotype" w:cs="Palatino Linotype"/>
          <w:sz w:val="20"/>
          <w:szCs w:val="20"/>
          <w:lang w:val="en-US"/>
        </w:rPr>
        <w:lastRenderedPageBreak/>
        <w:t>obtain a representative equation for Abacus 1, which automatically retrieves data points from graphs, thus allowing an equation to be coded in VBA (Equation 4).</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B45855">
      <w:pPr>
        <w:spacing w:after="0" w:line="360" w:lineRule="auto"/>
        <w:rPr>
          <w:sz w:val="24"/>
          <w:szCs w:val="24"/>
          <w:lang w:val="en-US"/>
        </w:rPr>
      </w:pPr>
      <m:oMath>
        <m:box>
          <m:boxPr>
            <m:opEmu m:val="on"/>
            <m:ctrlPr>
              <w:rPr>
                <w:rFonts w:ascii="Cambria Math" w:hAnsi="Cambria Math"/>
                <w:lang w:val="en-US"/>
              </w:rPr>
            </m:ctrlPr>
          </m:boxPr>
          <m:e>
            <m:r>
              <w:rPr>
                <w:rFonts w:ascii="Cambria Math" w:hAnsi="Cambria Math"/>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sSubSup>
          <m:sSubSupPr>
            <m:ctrlPr>
              <w:rPr>
                <w:rFonts w:ascii="Cambria Math" w:eastAsia="Cambria Math" w:hAnsi="Cambria Math" w:cs="Cambria Math"/>
                <w:sz w:val="20"/>
                <w:szCs w:val="20"/>
                <w:lang w:val="en-US"/>
              </w:rPr>
            </m:ctrlPr>
          </m:sSubSupPr>
          <m:e>
            <m:r>
              <w:rPr>
                <w:rFonts w:ascii="Cambria Math" w:eastAsia="Cambria Math" w:hAnsi="Cambria Math" w:cs="Cambria Math"/>
                <w:sz w:val="20"/>
                <w:szCs w:val="20"/>
                <w:lang w:val="en-US"/>
              </w:rPr>
              <m:t>q</m:t>
            </m:r>
          </m:e>
          <m:sub>
            <m:r>
              <w:rPr>
                <w:rFonts w:ascii="Cambria Math" w:eastAsia="Cambria Math" w:hAnsi="Cambria Math" w:cs="Cambria Math"/>
                <w:sz w:val="20"/>
                <w:szCs w:val="20"/>
                <w:lang w:val="en-US"/>
              </w:rPr>
              <m:t>nm</m:t>
            </m:r>
          </m:sub>
          <m:sup>
            <m:r>
              <w:rPr>
                <w:rFonts w:ascii="Cambria Math" w:eastAsia="Cambria Math" w:hAnsi="Cambria Math" w:cs="Cambria Math"/>
                <w:sz w:val="20"/>
                <w:szCs w:val="20"/>
                <w:lang w:val="en-US"/>
              </w:rPr>
              <m:t>'</m:t>
            </m:r>
          </m:sup>
        </m:sSubSup>
        <m:r>
          <w:rPr>
            <w:rFonts w:ascii="Cambria Math" w:hAnsi="Cambria Math"/>
            <w:lang w:val="en-US"/>
          </w:rPr>
          <m:t xml:space="preserve"> </m:t>
        </m:r>
        <m:r>
          <w:rPr>
            <w:rFonts w:ascii="Cambria Math" w:eastAsia="Cambria Math" w:hAnsi="Cambria Math" w:cs="Cambria Math"/>
            <w:sz w:val="20"/>
            <w:szCs w:val="20"/>
            <w:lang w:val="en-US"/>
          </w:rPr>
          <m:t>=3.340∙</m:t>
        </m:r>
        <m:box>
          <m:boxPr>
            <m:opEmu m:val="on"/>
            <m:ctrlPr>
              <w:rPr>
                <w:rFonts w:ascii="Cambria Math" w:eastAsia="Cambria Math" w:hAnsi="Cambria Math" w:cs="Cambria Math"/>
                <w:sz w:val="20"/>
                <w:szCs w:val="20"/>
                <w:lang w:val="en-US"/>
              </w:rPr>
            </m:ctrlPr>
          </m:boxPr>
          <m:e>
            <m:r>
              <w:rPr>
                <w:rFonts w:ascii="Cambria Math" w:eastAsia="Cambria Math" w:hAnsi="Cambria Math" w:cs="Cambria Math"/>
                <w:sz w:val="20"/>
                <w:szCs w:val="20"/>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r>
          <w:rPr>
            <w:rFonts w:ascii="Cambria Math" w:eastAsia="Cambria Math" w:hAnsi="Cambria Math" w:cs="Cambria Math"/>
            <w:sz w:val="20"/>
            <w:szCs w:val="20"/>
            <w:lang w:val="en-US"/>
          </w:rPr>
          <m:t>V</m:t>
        </m:r>
        <m:r>
          <w:rPr>
            <w:rFonts w:ascii="Cambria Math" w:hAnsi="Cambria Math"/>
            <w:lang w:val="en-US"/>
          </w:rPr>
          <m:t xml:space="preserve"> </m:t>
        </m:r>
        <m:r>
          <w:rPr>
            <w:rFonts w:ascii="Cambria Math" w:eastAsia="Cambria Math" w:hAnsi="Cambria Math" w:cs="Cambria Math"/>
            <w:sz w:val="20"/>
            <w:szCs w:val="20"/>
            <w:lang w:val="en-US"/>
          </w:rPr>
          <m:t>+1.617</m:t>
        </m:r>
      </m:oMath>
      <w:r w:rsidR="000D7BD9" w:rsidRPr="00927D2C">
        <w:rPr>
          <w:rFonts w:ascii="Times New Roman" w:eastAsia="Times New Roman" w:hAnsi="Times New Roman" w:cs="Times New Roman"/>
          <w:sz w:val="24"/>
          <w:szCs w:val="24"/>
          <w:lang w:val="en-US"/>
        </w:rPr>
        <w:tab/>
      </w:r>
      <w:r w:rsidR="000D7BD9" w:rsidRPr="00927D2C">
        <w:rPr>
          <w:rFonts w:ascii="Times New Roman" w:eastAsia="Times New Roman" w:hAnsi="Times New Roman" w:cs="Times New Roman"/>
          <w:sz w:val="24"/>
          <w:szCs w:val="24"/>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t>(4)</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After that, it was still necessary to determine the correction factor k, obtained from Abacus 2 and 3. Figure 5 presents Abacus 2 that allows the relative concentration (Cr) to be obtained using velocity and mean depth. In this case, the equations used for Abacus 2 coding were listed by Paiva (1988). According to the author, the relative concentration is given by Equation 5.</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B45855">
      <w:pPr>
        <w:spacing w:after="0"/>
        <w:jc w:val="both"/>
        <w:rPr>
          <w:rFonts w:ascii="Palatino Linotype" w:eastAsia="Palatino Linotype" w:hAnsi="Palatino Linotype" w:cs="Palatino Linotype"/>
          <w:i/>
          <w:sz w:val="20"/>
          <w:szCs w:val="20"/>
          <w:lang w:val="en-US"/>
        </w:rPr>
      </w:pPr>
      <m:oMath>
        <m:box>
          <m:boxPr>
            <m:opEmu m:val="on"/>
            <m:ctrlPr>
              <w:rPr>
                <w:rFonts w:ascii="Cambria Math" w:hAnsi="Cambria Math"/>
                <w:lang w:val="en-US"/>
              </w:rPr>
            </m:ctrlPr>
          </m:boxPr>
          <m:e>
            <m:r>
              <w:rPr>
                <w:rFonts w:ascii="Cambria Math" w:hAnsi="Cambria Math"/>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sSub>
          <m:sSubPr>
            <m:ctrlPr>
              <w:rPr>
                <w:rFonts w:ascii="Cambria Math" w:eastAsia="Cambria Math" w:hAnsi="Cambria Math" w:cs="Cambria Math"/>
                <w:sz w:val="20"/>
                <w:szCs w:val="20"/>
                <w:lang w:val="en-US"/>
              </w:rPr>
            </m:ctrlPr>
          </m:sSubPr>
          <m:e>
            <m:r>
              <w:rPr>
                <w:rFonts w:ascii="Cambria Math" w:eastAsia="Cambria Math" w:hAnsi="Cambria Math" w:cs="Cambria Math"/>
                <w:sz w:val="20"/>
                <w:szCs w:val="20"/>
                <w:lang w:val="en-US"/>
              </w:rPr>
              <m:t>C</m:t>
            </m:r>
          </m:e>
          <m:sub>
            <m:r>
              <w:rPr>
                <w:rFonts w:ascii="Cambria Math" w:eastAsia="Cambria Math" w:hAnsi="Cambria Math" w:cs="Cambria Math"/>
                <w:sz w:val="20"/>
                <w:szCs w:val="20"/>
                <w:lang w:val="en-US"/>
              </w:rPr>
              <m:t>r</m:t>
            </m:r>
          </m:sub>
        </m:sSub>
        <m:r>
          <w:rPr>
            <w:rFonts w:ascii="Cambria Math" w:hAnsi="Cambria Math"/>
            <w:lang w:val="en-US"/>
          </w:rPr>
          <m:t xml:space="preserve"> </m:t>
        </m:r>
        <m:r>
          <w:rPr>
            <w:rFonts w:ascii="Cambria Math" w:eastAsia="Cambria Math" w:hAnsi="Cambria Math" w:cs="Cambria Math"/>
            <w:sz w:val="20"/>
            <w:szCs w:val="20"/>
            <w:lang w:val="en-US"/>
          </w:rPr>
          <m:t>=A∙</m:t>
        </m:r>
        <m:box>
          <m:boxPr>
            <m:opEmu m:val="on"/>
            <m:ctrlPr>
              <w:rPr>
                <w:rFonts w:ascii="Cambria Math" w:eastAsia="Cambria Math" w:hAnsi="Cambria Math" w:cs="Cambria Math"/>
                <w:sz w:val="20"/>
                <w:szCs w:val="20"/>
                <w:lang w:val="en-US"/>
              </w:rPr>
            </m:ctrlPr>
          </m:boxPr>
          <m:e>
            <m:r>
              <w:rPr>
                <w:rFonts w:ascii="Cambria Math" w:eastAsia="Cambria Math" w:hAnsi="Cambria Math" w:cs="Cambria Math"/>
                <w:sz w:val="20"/>
                <w:szCs w:val="20"/>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r>
          <w:rPr>
            <w:rFonts w:ascii="Cambria Math" w:eastAsia="Cambria Math" w:hAnsi="Cambria Math" w:cs="Cambria Math"/>
            <w:sz w:val="20"/>
            <w:szCs w:val="20"/>
            <w:lang w:val="en-US"/>
          </w:rPr>
          <m:t>V</m:t>
        </m:r>
        <m:r>
          <w:rPr>
            <w:rFonts w:ascii="Cambria Math" w:hAnsi="Cambria Math"/>
            <w:lang w:val="en-US"/>
          </w:rPr>
          <m:t xml:space="preserve"> </m:t>
        </m:r>
        <m:r>
          <w:rPr>
            <w:rFonts w:ascii="Cambria Math" w:eastAsia="Cambria Math" w:hAnsi="Cambria Math" w:cs="Cambria Math"/>
            <w:sz w:val="20"/>
            <w:szCs w:val="20"/>
            <w:lang w:val="en-US"/>
          </w:rPr>
          <m:t>+B</m:t>
        </m:r>
      </m:oMath>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i/>
          <w:sz w:val="20"/>
          <w:szCs w:val="20"/>
          <w:lang w:val="en-US"/>
        </w:rPr>
        <w:tab/>
        <w:t>(</w:t>
      </w:r>
      <w:r w:rsidR="000D7BD9" w:rsidRPr="00927D2C">
        <w:rPr>
          <w:rFonts w:ascii="Palatino Linotype" w:eastAsia="Palatino Linotype" w:hAnsi="Palatino Linotype" w:cs="Palatino Linotype"/>
          <w:sz w:val="20"/>
          <w:szCs w:val="20"/>
          <w:lang w:val="en-US"/>
        </w:rPr>
        <w:t>5)</w:t>
      </w:r>
    </w:p>
    <w:p w:rsidR="00E5332B" w:rsidRDefault="00E5332B">
      <w:pPr>
        <w:spacing w:after="0"/>
        <w:jc w:val="both"/>
        <w:rPr>
          <w:rFonts w:ascii="Palatino Linotype" w:eastAsia="Palatino Linotype" w:hAnsi="Palatino Linotype" w:cs="Palatino Linotype"/>
          <w:sz w:val="20"/>
          <w:szCs w:val="20"/>
          <w:lang w:val="en-US"/>
        </w:rPr>
      </w:pP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Where:</w:t>
      </w:r>
    </w:p>
    <w:p w:rsidR="00797A6E" w:rsidRPr="00927D2C" w:rsidRDefault="00B45855">
      <w:pPr>
        <w:spacing w:after="0"/>
        <w:jc w:val="both"/>
        <w:rPr>
          <w:rFonts w:ascii="Palatino Linotype" w:eastAsia="Palatino Linotype" w:hAnsi="Palatino Linotype" w:cs="Palatino Linotype"/>
          <w:sz w:val="20"/>
          <w:szCs w:val="20"/>
          <w:lang w:val="en-US"/>
        </w:rPr>
      </w:pPr>
      <m:oMath>
        <m:sSub>
          <m:sSubPr>
            <m:ctrlPr>
              <w:rPr>
                <w:rFonts w:ascii="Cambria Math" w:eastAsia="Cambria Math" w:hAnsi="Cambria Math" w:cs="Cambria Math"/>
                <w:sz w:val="20"/>
                <w:szCs w:val="20"/>
                <w:lang w:val="en-US"/>
              </w:rPr>
            </m:ctrlPr>
          </m:sSubPr>
          <m:e>
            <m:r>
              <w:rPr>
                <w:rFonts w:ascii="Cambria Math" w:eastAsia="Cambria Math" w:hAnsi="Cambria Math" w:cs="Cambria Math"/>
                <w:sz w:val="20"/>
                <w:szCs w:val="20"/>
                <w:lang w:val="en-US"/>
              </w:rPr>
              <m:t>C</m:t>
            </m:r>
          </m:e>
          <m:sub>
            <m:r>
              <w:rPr>
                <w:rFonts w:ascii="Cambria Math" w:eastAsia="Cambria Math" w:hAnsi="Cambria Math" w:cs="Cambria Math"/>
                <w:sz w:val="20"/>
                <w:szCs w:val="20"/>
                <w:lang w:val="en-US"/>
              </w:rPr>
              <m:t>r</m:t>
            </m:r>
          </m:sub>
        </m:sSub>
      </m:oMath>
      <w:r w:rsidR="000D7BD9" w:rsidRPr="00927D2C">
        <w:rPr>
          <w:rFonts w:ascii="Palatino Linotype" w:eastAsia="Palatino Linotype" w:hAnsi="Palatino Linotype" w:cs="Palatino Linotype"/>
          <w:sz w:val="20"/>
          <w:szCs w:val="20"/>
          <w:lang w:val="en-US"/>
        </w:rPr>
        <w:t xml:space="preserve"> = Relative concentration [ppm = mg.L</w:t>
      </w:r>
      <w:r w:rsidR="000D7BD9" w:rsidRPr="00927D2C">
        <w:rPr>
          <w:rFonts w:ascii="Palatino Linotype" w:eastAsia="Palatino Linotype" w:hAnsi="Palatino Linotype" w:cs="Palatino Linotype"/>
          <w:sz w:val="20"/>
          <w:szCs w:val="20"/>
          <w:vertAlign w:val="superscript"/>
          <w:lang w:val="en-US"/>
        </w:rPr>
        <w:t>-1</w:t>
      </w:r>
      <w:r w:rsidR="000D7BD9" w:rsidRPr="00927D2C">
        <w:rPr>
          <w:rFonts w:ascii="Palatino Linotype" w:eastAsia="Palatino Linotype" w:hAnsi="Palatino Linotype" w:cs="Palatino Linotype"/>
          <w:sz w:val="20"/>
          <w:szCs w:val="20"/>
          <w:lang w:val="en-US"/>
        </w:rPr>
        <w:t>];</w:t>
      </w:r>
    </w:p>
    <w:p w:rsidR="00797A6E" w:rsidRPr="00927D2C" w:rsidRDefault="000D7BD9">
      <w:pPr>
        <w:spacing w:after="0"/>
        <w:jc w:val="both"/>
        <w:rPr>
          <w:rFonts w:ascii="Palatino Linotype" w:eastAsia="Palatino Linotype" w:hAnsi="Palatino Linotype" w:cs="Palatino Linotype"/>
          <w:sz w:val="20"/>
          <w:szCs w:val="20"/>
          <w:lang w:val="en-US"/>
        </w:rPr>
      </w:pPr>
      <m:oMath>
        <m:r>
          <w:rPr>
            <w:rFonts w:ascii="Cambria Math" w:eastAsia="Cambria Math" w:hAnsi="Cambria Math" w:cs="Cambria Math"/>
            <w:sz w:val="20"/>
            <w:szCs w:val="20"/>
            <w:lang w:val="en-US"/>
          </w:rPr>
          <m:t xml:space="preserve">A </m:t>
        </m:r>
        <m:r>
          <w:rPr>
            <w:rFonts w:ascii="Palatino Linotype" w:eastAsia="Palatino Linotype" w:hAnsi="Palatino Linotype" w:cs="Palatino Linotype"/>
            <w:sz w:val="20"/>
            <w:szCs w:val="20"/>
            <w:lang w:val="en-US"/>
          </w:rPr>
          <m:t>e</m:t>
        </m:r>
        <m:r>
          <w:rPr>
            <w:rFonts w:ascii="Cambria Math" w:eastAsia="Cambria Math" w:hAnsi="Cambria Math" w:cs="Cambria Math"/>
            <w:sz w:val="20"/>
            <w:szCs w:val="20"/>
            <w:lang w:val="en-US"/>
          </w:rPr>
          <m:t xml:space="preserve"> B</m:t>
        </m:r>
      </m:oMath>
      <w:r w:rsidRPr="00927D2C">
        <w:rPr>
          <w:rFonts w:ascii="Palatino Linotype" w:eastAsia="Palatino Linotype" w:hAnsi="Palatino Linotype" w:cs="Palatino Linotype"/>
          <w:sz w:val="20"/>
          <w:szCs w:val="20"/>
          <w:lang w:val="en-US"/>
        </w:rPr>
        <w:t xml:space="preserve"> = Standard values to obtain Cr data by Paiva (1988, p.275)</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center"/>
        <w:rPr>
          <w:rFonts w:ascii="Palatino Linotype" w:eastAsia="Palatino Linotype" w:hAnsi="Palatino Linotype" w:cs="Palatino Linotype"/>
          <w:sz w:val="20"/>
          <w:szCs w:val="20"/>
          <w:lang w:val="en-US"/>
        </w:rPr>
      </w:pPr>
      <w:r w:rsidRPr="00927D2C">
        <w:rPr>
          <w:noProof/>
        </w:rPr>
        <w:drawing>
          <wp:inline distT="0" distB="0" distL="0" distR="0">
            <wp:extent cx="2674634" cy="368299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srcRect/>
                    <a:stretch>
                      <a:fillRect/>
                    </a:stretch>
                  </pic:blipFill>
                  <pic:spPr>
                    <a:xfrm>
                      <a:off x="0" y="0"/>
                      <a:ext cx="2674634" cy="3682993"/>
                    </a:xfrm>
                    <a:prstGeom prst="rect">
                      <a:avLst/>
                    </a:prstGeom>
                    <a:ln/>
                  </pic:spPr>
                </pic:pic>
              </a:graphicData>
            </a:graphic>
          </wp:inline>
        </w:drawing>
      </w:r>
      <w:r w:rsidRPr="00927D2C">
        <w:rPr>
          <w:lang w:val="en-US"/>
        </w:rPr>
        <w:t xml:space="preserve"> </w:t>
      </w:r>
      <w:r w:rsidRPr="00927D2C">
        <w:rPr>
          <w:noProof/>
        </w:rPr>
        <w:drawing>
          <wp:inline distT="0" distB="0" distL="0" distR="0">
            <wp:extent cx="2588101" cy="3684777"/>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cstate="print"/>
                    <a:srcRect/>
                    <a:stretch>
                      <a:fillRect/>
                    </a:stretch>
                  </pic:blipFill>
                  <pic:spPr>
                    <a:xfrm>
                      <a:off x="0" y="0"/>
                      <a:ext cx="2588101" cy="3684777"/>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color w:val="000000"/>
          <w:sz w:val="16"/>
          <w:szCs w:val="16"/>
          <w:lang w:val="en-US"/>
        </w:rPr>
        <w:t xml:space="preserve">Figure 5 – </w:t>
      </w:r>
      <w:r w:rsidRPr="00927D2C">
        <w:rPr>
          <w:rFonts w:ascii="Palatino Linotype" w:eastAsia="Palatino Linotype" w:hAnsi="Palatino Linotype" w:cs="Palatino Linotype"/>
          <w:sz w:val="16"/>
          <w:szCs w:val="16"/>
          <w:lang w:val="en-US"/>
        </w:rPr>
        <w:t>A</w:t>
      </w:r>
      <w:r w:rsidRPr="00927D2C">
        <w:rPr>
          <w:rFonts w:ascii="Palatino Linotype" w:eastAsia="Palatino Linotype" w:hAnsi="Palatino Linotype" w:cs="Palatino Linotype"/>
          <w:color w:val="000000"/>
          <w:sz w:val="16"/>
          <w:szCs w:val="16"/>
          <w:lang w:val="en-US"/>
        </w:rPr>
        <w:t>bac</w:t>
      </w:r>
      <w:r w:rsidRPr="00927D2C">
        <w:rPr>
          <w:rFonts w:ascii="Palatino Linotype" w:eastAsia="Palatino Linotype" w:hAnsi="Palatino Linotype" w:cs="Palatino Linotype"/>
          <w:sz w:val="16"/>
          <w:szCs w:val="16"/>
          <w:lang w:val="en-US"/>
        </w:rPr>
        <w:t>us</w:t>
      </w:r>
      <w:r w:rsidRPr="00927D2C">
        <w:rPr>
          <w:rFonts w:ascii="Palatino Linotype" w:eastAsia="Palatino Linotype" w:hAnsi="Palatino Linotype" w:cs="Palatino Linotype"/>
          <w:color w:val="000000"/>
          <w:sz w:val="16"/>
          <w:szCs w:val="16"/>
          <w:lang w:val="en-US"/>
        </w:rPr>
        <w:t xml:space="preserve"> 1: Acquiring of unmeasured </w:t>
      </w:r>
      <w:r w:rsidRPr="00927D2C">
        <w:rPr>
          <w:rFonts w:ascii="Palatino Linotype" w:eastAsia="Palatino Linotype" w:hAnsi="Palatino Linotype" w:cs="Palatino Linotype"/>
          <w:sz w:val="16"/>
          <w:szCs w:val="16"/>
          <w:lang w:val="en-US"/>
        </w:rPr>
        <w:t xml:space="preserve">sediment discharge </w:t>
      </w:r>
      <w:r w:rsidRPr="00927D2C">
        <w:rPr>
          <w:rFonts w:ascii="Palatino Linotype" w:eastAsia="Palatino Linotype" w:hAnsi="Palatino Linotype" w:cs="Palatino Linotype"/>
          <w:color w:val="000000"/>
          <w:sz w:val="16"/>
          <w:szCs w:val="16"/>
          <w:lang w:val="en-US"/>
        </w:rPr>
        <w:t xml:space="preserve">per one meter of the water body’s cross section width using </w:t>
      </w:r>
      <w:r w:rsidRPr="00927D2C">
        <w:rPr>
          <w:rFonts w:ascii="Palatino Linotype" w:eastAsia="Palatino Linotype" w:hAnsi="Palatino Linotype" w:cs="Palatino Linotype"/>
          <w:sz w:val="16"/>
          <w:szCs w:val="16"/>
          <w:lang w:val="en-US"/>
        </w:rPr>
        <w:t>mean velocity (Left); Abacus 2: Acquiring of relative sediment concentration using mean velocity and mean depth (right)</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xml:space="preserve">: Adapted from Carvalho (2008) </w:t>
      </w:r>
      <w:r w:rsidRPr="00927D2C">
        <w:rPr>
          <w:rFonts w:ascii="Palatino Linotype" w:eastAsia="Palatino Linotype" w:hAnsi="Palatino Linotype" w:cs="Palatino Linotype"/>
          <w:sz w:val="16"/>
          <w:szCs w:val="16"/>
          <w:lang w:val="en-US"/>
        </w:rPr>
        <w:t>and</w:t>
      </w:r>
      <w:r w:rsidRPr="00927D2C">
        <w:rPr>
          <w:rFonts w:ascii="Palatino Linotype" w:eastAsia="Palatino Linotype" w:hAnsi="Palatino Linotype" w:cs="Palatino Linotype"/>
          <w:color w:val="000000"/>
          <w:sz w:val="16"/>
          <w:szCs w:val="16"/>
          <w:lang w:val="en-US"/>
        </w:rPr>
        <w:t xml:space="preserve"> Paiva (2001)</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After determining the relative concentration (</w:t>
      </w:r>
      <w:r w:rsidRPr="00927D2C">
        <w:rPr>
          <w:rFonts w:ascii="Palatino Linotype" w:eastAsia="Palatino Linotype" w:hAnsi="Palatino Linotype" w:cs="Palatino Linotype"/>
          <w:i/>
          <w:sz w:val="20"/>
          <w:szCs w:val="20"/>
          <w:lang w:val="en-US"/>
        </w:rPr>
        <w:t>Cr</w:t>
      </w:r>
      <w:r w:rsidRPr="00927D2C">
        <w:rPr>
          <w:rFonts w:ascii="Palatino Linotype" w:eastAsia="Palatino Linotype" w:hAnsi="Palatino Linotype" w:cs="Palatino Linotype"/>
          <w:sz w:val="20"/>
          <w:szCs w:val="20"/>
          <w:lang w:val="en-US"/>
        </w:rPr>
        <w:t>), from Equation 6 it was possible to determine the efficiency ratio (Re) given by the ratio of the measured concentration to the relative concentration. Thus, through Abacus 3, we could determine the correction factor k (Figure 6).</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jc w:val="both"/>
        <w:rPr>
          <w:rFonts w:ascii="Palatino Linotype" w:eastAsia="Palatino Linotype" w:hAnsi="Palatino Linotype" w:cs="Palatino Linotype"/>
          <w:sz w:val="20"/>
          <w:szCs w:val="20"/>
          <w:lang w:val="en-US"/>
        </w:rPr>
      </w:pPr>
      <m:oMath>
        <m:r>
          <w:rPr>
            <w:rFonts w:ascii="Cambria Math" w:eastAsia="Cambria Math" w:hAnsi="Cambria Math" w:cs="Cambria Math"/>
            <w:sz w:val="20"/>
            <w:szCs w:val="20"/>
            <w:lang w:val="en-US"/>
          </w:rPr>
          <m:t xml:space="preserve">Re= </m:t>
        </m:r>
        <m:f>
          <m:fPr>
            <m:ctrlPr>
              <w:rPr>
                <w:rFonts w:ascii="Cambria Math" w:eastAsia="Cambria Math" w:hAnsi="Cambria Math" w:cs="Cambria Math"/>
                <w:sz w:val="20"/>
                <w:szCs w:val="20"/>
                <w:lang w:val="en-US"/>
              </w:rPr>
            </m:ctrlPr>
          </m:fPr>
          <m:num>
            <m:r>
              <w:rPr>
                <w:rFonts w:ascii="Cambria Math" w:eastAsia="Cambria Math" w:hAnsi="Cambria Math" w:cs="Cambria Math"/>
                <w:sz w:val="20"/>
                <w:szCs w:val="20"/>
                <w:lang w:val="en-US"/>
              </w:rPr>
              <m:t>SSC</m:t>
            </m:r>
          </m:num>
          <m:den>
            <m:sSub>
              <m:sSubPr>
                <m:ctrlPr>
                  <w:rPr>
                    <w:rFonts w:ascii="Cambria Math" w:eastAsia="Cambria Math" w:hAnsi="Cambria Math" w:cs="Cambria Math"/>
                    <w:sz w:val="20"/>
                    <w:szCs w:val="20"/>
                    <w:lang w:val="en-US"/>
                  </w:rPr>
                </m:ctrlPr>
              </m:sSubPr>
              <m:e>
                <m:r>
                  <w:rPr>
                    <w:rFonts w:ascii="Cambria Math" w:eastAsia="Cambria Math" w:hAnsi="Cambria Math" w:cs="Cambria Math"/>
                    <w:sz w:val="20"/>
                    <w:szCs w:val="20"/>
                    <w:lang w:val="en-US"/>
                  </w:rPr>
                  <m:t>C</m:t>
                </m:r>
              </m:e>
              <m:sub>
                <m:r>
                  <w:rPr>
                    <w:rFonts w:ascii="Cambria Math" w:eastAsia="Cambria Math" w:hAnsi="Cambria Math" w:cs="Cambria Math"/>
                    <w:sz w:val="20"/>
                    <w:szCs w:val="20"/>
                    <w:lang w:val="en-US"/>
                  </w:rPr>
                  <m:t>r</m:t>
                </m:r>
              </m:sub>
            </m:sSub>
          </m:den>
        </m:f>
      </m:oMath>
      <w:r w:rsidRPr="00927D2C">
        <w:rPr>
          <w:rFonts w:ascii="Palatino Linotype" w:eastAsia="Palatino Linotype" w:hAnsi="Palatino Linotype" w:cs="Palatino Linotype"/>
          <w:i/>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r>
      <w:r w:rsidRPr="00927D2C">
        <w:rPr>
          <w:rFonts w:ascii="Palatino Linotype" w:eastAsia="Palatino Linotype" w:hAnsi="Palatino Linotype" w:cs="Palatino Linotype"/>
          <w:sz w:val="20"/>
          <w:szCs w:val="20"/>
          <w:lang w:val="en-US"/>
        </w:rPr>
        <w:tab/>
        <w:t>(6)</w:t>
      </w:r>
    </w:p>
    <w:p w:rsidR="00797A6E" w:rsidRPr="00927D2C" w:rsidRDefault="000D7BD9">
      <w:pPr>
        <w:spacing w:after="0"/>
        <w:ind w:firstLine="284"/>
        <w:jc w:val="center"/>
        <w:rPr>
          <w:rFonts w:ascii="Palatino Linotype" w:eastAsia="Palatino Linotype" w:hAnsi="Palatino Linotype" w:cs="Palatino Linotype"/>
          <w:sz w:val="20"/>
          <w:szCs w:val="20"/>
          <w:lang w:val="en-US"/>
        </w:rPr>
      </w:pPr>
      <w:r w:rsidRPr="00927D2C">
        <w:rPr>
          <w:noProof/>
        </w:rPr>
        <w:lastRenderedPageBreak/>
        <w:drawing>
          <wp:inline distT="0" distB="0" distL="0" distR="0">
            <wp:extent cx="3626696" cy="258317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cstate="print"/>
                    <a:srcRect/>
                    <a:stretch>
                      <a:fillRect/>
                    </a:stretch>
                  </pic:blipFill>
                  <pic:spPr>
                    <a:xfrm>
                      <a:off x="0" y="0"/>
                      <a:ext cx="3626696" cy="2583170"/>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sz w:val="16"/>
          <w:szCs w:val="16"/>
          <w:lang w:val="en-US"/>
        </w:rPr>
        <w:t>Figure 6 - Abacus 3: Acquiring correction factor using availability ratio</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shd w:val="clear" w:color="auto" w:fill="D5A6BE"/>
          <w:lang w:val="en-US"/>
        </w:rPr>
      </w:pPr>
      <w:r w:rsidRPr="00927D2C">
        <w:rPr>
          <w:rFonts w:ascii="Palatino Linotype" w:eastAsia="Palatino Linotype" w:hAnsi="Palatino Linotype" w:cs="Palatino Linotype"/>
          <w:sz w:val="16"/>
          <w:szCs w:val="16"/>
          <w:lang w:val="en-US"/>
        </w:rPr>
        <w:t>Source: Adapted from Carvalho (2008) and Paiva (2001)</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As in previous abacuses, according to Colby (1957), abacus 3 represents the wide range of cross sections and concentrations measured in several rivers such as Mississippi, Colorado and Niobrara in the United States. Therefore, the mean line represents the location of most of the 262 points plotted in the author's study, which makes it the best curve for this application. In this case, the Engauge Digitizer software was used to determine the mean line equation in Abacus 3 (Equation 7).</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B45855">
      <w:pPr>
        <w:spacing w:after="0"/>
        <w:jc w:val="both"/>
        <w:rPr>
          <w:rFonts w:ascii="Palatino Linotype" w:eastAsia="Palatino Linotype" w:hAnsi="Palatino Linotype" w:cs="Palatino Linotype"/>
          <w:i/>
          <w:sz w:val="20"/>
          <w:szCs w:val="20"/>
          <w:lang w:val="en-US"/>
        </w:rPr>
      </w:pPr>
      <m:oMath>
        <m:box>
          <m:boxPr>
            <m:opEmu m:val="on"/>
            <m:ctrlPr>
              <w:rPr>
                <w:rFonts w:ascii="Cambria Math" w:hAnsi="Cambria Math"/>
                <w:lang w:val="en-US"/>
              </w:rPr>
            </m:ctrlPr>
          </m:boxPr>
          <m:e>
            <m:r>
              <w:rPr>
                <w:rFonts w:ascii="Cambria Math" w:hAnsi="Cambria Math"/>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r>
          <w:rPr>
            <w:rFonts w:ascii="Cambria Math" w:eastAsia="Cambria Math" w:hAnsi="Cambria Math" w:cs="Cambria Math"/>
            <w:sz w:val="20"/>
            <w:szCs w:val="20"/>
            <w:lang w:val="en-US"/>
          </w:rPr>
          <m:t>k</m:t>
        </m:r>
        <m:r>
          <w:rPr>
            <w:rFonts w:ascii="Cambria Math" w:hAnsi="Cambria Math"/>
            <w:lang w:val="en-US"/>
          </w:rPr>
          <m:t xml:space="preserve"> </m:t>
        </m:r>
        <m:r>
          <w:rPr>
            <w:rFonts w:ascii="Cambria Math" w:eastAsia="Cambria Math" w:hAnsi="Cambria Math" w:cs="Cambria Math"/>
            <w:sz w:val="20"/>
            <w:szCs w:val="20"/>
            <w:lang w:val="en-US"/>
          </w:rPr>
          <m:t>=0.4819∙</m:t>
        </m:r>
        <m:box>
          <m:boxPr>
            <m:opEmu m:val="on"/>
            <m:ctrlPr>
              <w:rPr>
                <w:rFonts w:ascii="Cambria Math" w:eastAsia="Cambria Math" w:hAnsi="Cambria Math" w:cs="Cambria Math"/>
                <w:sz w:val="20"/>
                <w:szCs w:val="20"/>
                <w:lang w:val="en-US"/>
              </w:rPr>
            </m:ctrlPr>
          </m:boxPr>
          <m:e>
            <m:r>
              <w:rPr>
                <w:rFonts w:ascii="Cambria Math" w:eastAsia="Cambria Math" w:hAnsi="Cambria Math" w:cs="Cambria Math"/>
                <w:sz w:val="20"/>
                <w:szCs w:val="20"/>
                <w:lang w:val="en-US"/>
              </w:rPr>
              <m:t>log</m:t>
            </m:r>
          </m:e>
        </m:box>
        <m:r>
          <w:rPr>
            <w:rFonts w:ascii="Cambria Math" w:eastAsia="Cambria Math" w:hAnsi="Cambria Math" w:cs="Cambria Math"/>
            <w:sz w:val="20"/>
            <w:szCs w:val="20"/>
            <w:lang w:val="en-US"/>
          </w:rPr>
          <m:t>log</m:t>
        </m:r>
        <m:r>
          <w:rPr>
            <w:rFonts w:ascii="Cambria Math" w:hAnsi="Cambria Math"/>
            <w:lang w:val="en-US"/>
          </w:rPr>
          <m:t xml:space="preserve"> </m:t>
        </m:r>
        <m:r>
          <w:rPr>
            <w:rFonts w:ascii="Cambria Math" w:eastAsia="Cambria Math" w:hAnsi="Cambria Math" w:cs="Cambria Math"/>
            <w:sz w:val="20"/>
            <w:szCs w:val="20"/>
            <w:lang w:val="en-US"/>
          </w:rPr>
          <m:t>Re</m:t>
        </m:r>
        <m:r>
          <w:rPr>
            <w:rFonts w:ascii="Cambria Math" w:hAnsi="Cambria Math"/>
            <w:lang w:val="en-US"/>
          </w:rPr>
          <m:t xml:space="preserve"> </m:t>
        </m:r>
        <m:r>
          <w:rPr>
            <w:rFonts w:ascii="Cambria Math" w:eastAsia="Cambria Math" w:hAnsi="Cambria Math" w:cs="Cambria Math"/>
            <w:sz w:val="20"/>
            <w:szCs w:val="20"/>
            <w:lang w:val="en-US"/>
          </w:rPr>
          <m:t>+0.0739</m:t>
        </m:r>
      </m:oMath>
      <w:r w:rsidR="000D7BD9" w:rsidRPr="00927D2C">
        <w:rPr>
          <w:rFonts w:ascii="Palatino Linotype" w:eastAsia="Palatino Linotype" w:hAnsi="Palatino Linotype" w:cs="Palatino Linotype"/>
          <w:i/>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r>
      <w:r w:rsidR="000D7BD9" w:rsidRPr="00927D2C">
        <w:rPr>
          <w:rFonts w:ascii="Palatino Linotype" w:eastAsia="Palatino Linotype" w:hAnsi="Palatino Linotype" w:cs="Palatino Linotype"/>
          <w:sz w:val="20"/>
          <w:szCs w:val="20"/>
          <w:lang w:val="en-US"/>
        </w:rPr>
        <w:tab/>
        <w:t>(7)</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Knowing all the procedure that involves the estimation of total sediment discharge as well as the equations that rule it, the Colby procedure (1957) in the computational tool was implemented in VBA code, allowing the Qst to be estimated for different sections of the Mogi-Guaçu reservoir.</w:t>
      </w:r>
    </w:p>
    <w:p w:rsidR="00797A6E" w:rsidRPr="00927D2C" w:rsidRDefault="000D7BD9">
      <w:pPr>
        <w:pBdr>
          <w:top w:val="nil"/>
          <w:left w:val="nil"/>
          <w:bottom w:val="nil"/>
          <w:right w:val="nil"/>
          <w:between w:val="nil"/>
        </w:pBdr>
        <w:spacing w:before="360" w:after="200"/>
        <w:jc w:val="both"/>
        <w:rPr>
          <w:rFonts w:ascii="Palatino Linotype" w:eastAsia="Palatino Linotype" w:hAnsi="Palatino Linotype" w:cs="Palatino Linotype"/>
          <w:b/>
          <w:color w:val="000000"/>
          <w:sz w:val="24"/>
          <w:szCs w:val="24"/>
          <w:lang w:val="en-US"/>
        </w:rPr>
      </w:pPr>
      <w:r w:rsidRPr="00927D2C">
        <w:rPr>
          <w:rFonts w:ascii="Palatino Linotype" w:eastAsia="Palatino Linotype" w:hAnsi="Palatino Linotype" w:cs="Palatino Linotype"/>
          <w:b/>
          <w:color w:val="000000"/>
          <w:sz w:val="24"/>
          <w:szCs w:val="24"/>
          <w:lang w:val="en-US"/>
        </w:rPr>
        <w:t>3 Result</w:t>
      </w:r>
      <w:r w:rsidRPr="00927D2C">
        <w:rPr>
          <w:rFonts w:ascii="Palatino Linotype" w:eastAsia="Palatino Linotype" w:hAnsi="Palatino Linotype" w:cs="Palatino Linotype"/>
          <w:b/>
          <w:sz w:val="24"/>
          <w:szCs w:val="24"/>
          <w:lang w:val="en-US"/>
        </w:rPr>
        <w:t>s and Discussion</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Figures 7 and 8 illustrate some of the water discharge and velocity profiles obtained in the measurements of the hydraulic characteristics of the Mogi-Guaçu reservoir sections, respectively at the entrance of the reservoir and near the dam.</w:t>
      </w:r>
    </w:p>
    <w:p w:rsidR="003E02F2" w:rsidRPr="00927D2C" w:rsidRDefault="003E02F2">
      <w:pPr>
        <w:spacing w:after="0"/>
        <w:ind w:firstLine="284"/>
        <w:jc w:val="both"/>
        <w:rPr>
          <w:rFonts w:ascii="Palatino Linotype" w:eastAsia="Palatino Linotype" w:hAnsi="Palatino Linotype" w:cs="Palatino Linotype"/>
          <w:sz w:val="20"/>
          <w:szCs w:val="20"/>
          <w:lang w:val="en-US"/>
        </w:rPr>
      </w:pPr>
    </w:p>
    <w:p w:rsidR="00797A6E" w:rsidRPr="00927D2C" w:rsidRDefault="000D7BD9">
      <w:pPr>
        <w:pBdr>
          <w:top w:val="nil"/>
          <w:left w:val="nil"/>
          <w:bottom w:val="nil"/>
          <w:right w:val="nil"/>
          <w:between w:val="nil"/>
        </w:pBdr>
        <w:spacing w:after="0"/>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noProof/>
          <w:color w:val="000000"/>
          <w:sz w:val="20"/>
          <w:szCs w:val="20"/>
        </w:rPr>
        <w:drawing>
          <wp:inline distT="0" distB="0" distL="0" distR="0">
            <wp:extent cx="5400000" cy="1860489"/>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cstate="print"/>
                    <a:srcRect/>
                    <a:stretch>
                      <a:fillRect/>
                    </a:stretch>
                  </pic:blipFill>
                  <pic:spPr>
                    <a:xfrm>
                      <a:off x="0" y="0"/>
                      <a:ext cx="5400000" cy="1860489"/>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sz w:val="16"/>
          <w:szCs w:val="16"/>
          <w:lang w:val="en-US"/>
        </w:rPr>
        <w:t>Figure 7: (a) Estimated water discharge and velocity: Section 1 second measurement in the first survey; and (b) Section 1 first measurement in the second survey</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shd w:val="clear" w:color="auto" w:fill="D5A6BE"/>
          <w:lang w:val="en-US"/>
        </w:rPr>
      </w:pPr>
      <w:r w:rsidRPr="00927D2C">
        <w:rPr>
          <w:rFonts w:ascii="Palatino Linotype" w:eastAsia="Palatino Linotype" w:hAnsi="Palatino Linotype" w:cs="Palatino Linotype"/>
          <w:sz w:val="16"/>
          <w:szCs w:val="16"/>
          <w:lang w:val="en-US"/>
        </w:rPr>
        <w:t>Source: FIPAI</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jc w:val="center"/>
        <w:rPr>
          <w:rFonts w:ascii="Palatino Linotype" w:eastAsia="Palatino Linotype" w:hAnsi="Palatino Linotype" w:cs="Palatino Linotype"/>
          <w:sz w:val="20"/>
          <w:szCs w:val="20"/>
          <w:lang w:val="en-US"/>
        </w:rPr>
      </w:pPr>
      <w:r w:rsidRPr="00927D2C">
        <w:rPr>
          <w:noProof/>
        </w:rPr>
        <w:drawing>
          <wp:inline distT="0" distB="0" distL="0" distR="0">
            <wp:extent cx="5400000" cy="1846436"/>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cstate="print"/>
                    <a:srcRect/>
                    <a:stretch>
                      <a:fillRect/>
                    </a:stretch>
                  </pic:blipFill>
                  <pic:spPr>
                    <a:xfrm>
                      <a:off x="0" y="0"/>
                      <a:ext cx="5400000" cy="1846436"/>
                    </a:xfrm>
                    <a:prstGeom prst="rect">
                      <a:avLst/>
                    </a:prstGeom>
                    <a:ln/>
                  </pic:spPr>
                </pic:pic>
              </a:graphicData>
            </a:graphic>
          </wp:inline>
        </w:drawing>
      </w:r>
    </w:p>
    <w:p w:rsidR="00797A6E" w:rsidRPr="00927D2C" w:rsidRDefault="000D7BD9">
      <w:pPr>
        <w:spacing w:after="0"/>
        <w:rPr>
          <w:rFonts w:ascii="Palatino Linotype" w:eastAsia="Palatino Linotype" w:hAnsi="Palatino Linotype" w:cs="Palatino Linotype"/>
          <w:sz w:val="16"/>
          <w:szCs w:val="16"/>
          <w:lang w:val="en-US"/>
        </w:rPr>
      </w:pPr>
      <w:bookmarkStart w:id="1" w:name="_gjdgxs" w:colFirst="0" w:colLast="0"/>
      <w:bookmarkEnd w:id="1"/>
      <w:r w:rsidRPr="00927D2C">
        <w:rPr>
          <w:rFonts w:ascii="Palatino Linotype" w:eastAsia="Palatino Linotype" w:hAnsi="Palatino Linotype" w:cs="Palatino Linotype"/>
          <w:sz w:val="16"/>
          <w:szCs w:val="16"/>
          <w:lang w:val="en-US"/>
        </w:rPr>
        <w:t>Figure 8: (a) Estimated water discharge and velocity: Section 20 third measurement in the first survey; and (b) Section 19 first measurement in the second survey</w:t>
      </w:r>
    </w:p>
    <w:p w:rsidR="00797A6E" w:rsidRPr="00927D2C" w:rsidRDefault="000D7BD9">
      <w:pPr>
        <w:spacing w:after="0"/>
        <w:rPr>
          <w:rFonts w:ascii="Palatino Linotype" w:eastAsia="Palatino Linotype" w:hAnsi="Palatino Linotype" w:cs="Palatino Linotype"/>
          <w:color w:val="000000"/>
          <w:sz w:val="16"/>
          <w:szCs w:val="16"/>
          <w:shd w:val="clear" w:color="auto" w:fill="D5A6BE"/>
          <w:lang w:val="en-US"/>
        </w:rPr>
      </w:pPr>
      <w:bookmarkStart w:id="2" w:name="_lzmuwnijpup8" w:colFirst="0" w:colLast="0"/>
      <w:bookmarkEnd w:id="2"/>
      <w:r w:rsidRPr="00927D2C">
        <w:rPr>
          <w:rFonts w:ascii="Palatino Linotype" w:eastAsia="Palatino Linotype" w:hAnsi="Palatino Linotype" w:cs="Palatino Linotype"/>
          <w:sz w:val="16"/>
          <w:szCs w:val="16"/>
          <w:lang w:val="en-US"/>
        </w:rPr>
        <w:t>Source: FIPAI</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Analyzing the velocity profiles, it is clear that the water discharge intensity in the broader sections in both campaigns decreased. The cell velocities in section 1 were observed mostly between 0.0 and </w:t>
      </w:r>
      <w:proofErr w:type="gramStart"/>
      <w:r w:rsidRPr="00927D2C">
        <w:rPr>
          <w:rFonts w:ascii="Palatino Linotype" w:eastAsia="Palatino Linotype" w:hAnsi="Palatino Linotype" w:cs="Palatino Linotype"/>
          <w:sz w:val="20"/>
          <w:szCs w:val="20"/>
          <w:lang w:val="en-US"/>
        </w:rPr>
        <w:t>0.3 m.s-1,</w:t>
      </w:r>
      <w:proofErr w:type="gramEnd"/>
      <w:r w:rsidRPr="00927D2C">
        <w:rPr>
          <w:rFonts w:ascii="Palatino Linotype" w:eastAsia="Palatino Linotype" w:hAnsi="Palatino Linotype" w:cs="Palatino Linotype"/>
          <w:sz w:val="20"/>
          <w:szCs w:val="20"/>
          <w:lang w:val="en-US"/>
        </w:rPr>
        <w:t xml:space="preserve"> while in sections 19 and 20 cell velocities were between -0.1 and 0.1 m.s-1. It is worth noting that negative velocity values ​​indicate that the water discharge is in the opposite direction, which is present in flooded areas resulting from natural turbulence of the water bodies. The results of the hydraulic and sedimentological characteristics are presented in Tables 2 and 3, respectively, for the first and second surveys.</w:t>
      </w:r>
    </w:p>
    <w:p w:rsidR="00797A6E" w:rsidRPr="00927D2C" w:rsidRDefault="000D7BD9" w:rsidP="00643064">
      <w:pPr>
        <w:pBdr>
          <w:top w:val="nil"/>
          <w:left w:val="nil"/>
          <w:bottom w:val="nil"/>
          <w:right w:val="nil"/>
          <w:between w:val="nil"/>
        </w:pBdr>
        <w:spacing w:before="240" w:after="0" w:line="240" w:lineRule="auto"/>
        <w:jc w:val="center"/>
        <w:rPr>
          <w:rFonts w:ascii="Palatino Linotype" w:eastAsia="Palatino Linotype" w:hAnsi="Palatino Linotype" w:cs="Palatino Linotype"/>
          <w:color w:val="000000"/>
          <w:sz w:val="20"/>
          <w:szCs w:val="20"/>
          <w:shd w:val="clear" w:color="auto" w:fill="D5A6BE"/>
          <w:lang w:val="en-US"/>
        </w:rPr>
      </w:pPr>
      <w:r w:rsidRPr="00927D2C">
        <w:rPr>
          <w:rFonts w:ascii="Palatino Linotype" w:eastAsia="Palatino Linotype" w:hAnsi="Palatino Linotype" w:cs="Palatino Linotype"/>
          <w:sz w:val="20"/>
          <w:szCs w:val="20"/>
          <w:lang w:val="en-US"/>
        </w:rPr>
        <w:t>Table 2 - Hydraulic and sedimentological characteristics’ measurements of Mogi-Guaçu’s reservoir cross sections in the second survey</w:t>
      </w:r>
    </w:p>
    <w:tbl>
      <w:tblPr>
        <w:tblStyle w:val="a0"/>
        <w:tblW w:w="8988" w:type="dxa"/>
        <w:tblInd w:w="0" w:type="dxa"/>
        <w:tblLayout w:type="fixed"/>
        <w:tblLook w:val="0400"/>
      </w:tblPr>
      <w:tblGrid>
        <w:gridCol w:w="1093"/>
        <w:gridCol w:w="1396"/>
        <w:gridCol w:w="1501"/>
        <w:gridCol w:w="1274"/>
        <w:gridCol w:w="1181"/>
        <w:gridCol w:w="1516"/>
        <w:gridCol w:w="1027"/>
      </w:tblGrid>
      <w:tr w:rsidR="00797A6E" w:rsidRPr="00927D2C" w:rsidTr="00643064">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Section</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Measurement</w:t>
            </w:r>
          </w:p>
        </w:tc>
        <w:tc>
          <w:tcPr>
            <w:tcW w:w="1501"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Mean water discharge</w:t>
            </w:r>
          </w:p>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(m³.s</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1274"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Mean Velocity (m.s</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1181"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Width (m)</w:t>
            </w:r>
          </w:p>
        </w:tc>
        <w:tc>
          <w:tcPr>
            <w:tcW w:w="1516"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Mean Depth (m)</w:t>
            </w:r>
          </w:p>
        </w:tc>
        <w:tc>
          <w:tcPr>
            <w:tcW w:w="1027"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vertAlign w:val="subscript"/>
                <w:lang w:val="en-US"/>
              </w:rPr>
            </w:pPr>
            <w:r w:rsidRPr="00927D2C">
              <w:rPr>
                <w:rFonts w:ascii="Palatino Linotype" w:eastAsia="Palatino Linotype" w:hAnsi="Palatino Linotype" w:cs="Palatino Linotype"/>
                <w:b/>
                <w:color w:val="000000"/>
                <w:sz w:val="20"/>
                <w:szCs w:val="20"/>
                <w:lang w:val="en-US"/>
              </w:rPr>
              <w:t>SSC</w:t>
            </w:r>
          </w:p>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(mg.L</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r>
      <w:tr w:rsidR="00797A6E" w:rsidRPr="00927D2C" w:rsidTr="00643064">
        <w:trPr>
          <w:trHeight w:val="20"/>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1</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S1-1</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24.22</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0.064</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61.29</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6.45</w:t>
            </w:r>
          </w:p>
        </w:tc>
        <w:tc>
          <w:tcPr>
            <w:tcW w:w="102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59.000</w:t>
            </w: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S1-2</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21.83</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58.57</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6.34</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S1-3</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21.65</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0.058</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60.1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6.32</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22.31</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0.064</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57.74</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6.20</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6</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S6-1</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22.64</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0.086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48.02</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5.91</w:t>
            </w:r>
          </w:p>
        </w:tc>
        <w:tc>
          <w:tcPr>
            <w:tcW w:w="102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52.500</w:t>
            </w: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S6-2</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22.95</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0.081</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49.4</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6.21</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S6-3</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24.93</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0.086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50.41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6.10</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S6-4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22.5</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0.076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51.27</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6.25</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8</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S8-1</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21.77</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0.066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58.53</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6.72</w:t>
            </w:r>
          </w:p>
        </w:tc>
        <w:tc>
          <w:tcPr>
            <w:tcW w:w="102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45.000</w:t>
            </w: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S8-2</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22.03</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0.057</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57.04</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6.69</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S8-3</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22.89</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0.062</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56.81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6.71</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S8-4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22.83</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0.059</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58.91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6.67</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12</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S12-1</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27.61</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0.045</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117.56</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6.22</w:t>
            </w:r>
          </w:p>
        </w:tc>
        <w:tc>
          <w:tcPr>
            <w:tcW w:w="102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35.500</w:t>
            </w: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S12-2</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22.76</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0.04</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120.81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6.13</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S12-3</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24.8</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0.042</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118.59</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6.18</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S12-4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20.76</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0.038</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128.8</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5.93</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hRule="exact" w:val="278"/>
        </w:trPr>
        <w:tc>
          <w:tcPr>
            <w:tcW w:w="1093"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16</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S16-4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21.77</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0.013</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667.56</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4.40</w:t>
            </w:r>
          </w:p>
        </w:tc>
        <w:tc>
          <w:tcPr>
            <w:tcW w:w="1027" w:type="dxa"/>
            <w:tcBorders>
              <w:top w:val="nil"/>
              <w:left w:val="nil"/>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25.000</w:t>
            </w:r>
          </w:p>
        </w:tc>
      </w:tr>
      <w:tr w:rsidR="00797A6E" w:rsidRPr="00927D2C" w:rsidTr="00643064">
        <w:trPr>
          <w:trHeight w:val="20"/>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 xml:space="preserve">Section </w:t>
            </w:r>
            <w:r w:rsidRPr="00927D2C">
              <w:rPr>
                <w:rFonts w:ascii="Palatino Linotype" w:eastAsia="Palatino Linotype" w:hAnsi="Palatino Linotype" w:cs="Palatino Linotype"/>
                <w:color w:val="000000"/>
                <w:sz w:val="20"/>
                <w:szCs w:val="20"/>
                <w:lang w:val="en-US"/>
              </w:rPr>
              <w:t>20</w:t>
            </w: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S20-1</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27.39</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0.033</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160.11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5.36</w:t>
            </w:r>
          </w:p>
        </w:tc>
        <w:tc>
          <w:tcPr>
            <w:tcW w:w="102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19.670</w:t>
            </w: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S20-2</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24.87</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0.038</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158.68</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5.40</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S20-3</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22.06</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0.026</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152.33</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5.59</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r w:rsidR="00797A6E" w:rsidRPr="00927D2C" w:rsidTr="00643064">
        <w:trPr>
          <w:trHeight w:val="20"/>
        </w:trPr>
        <w:tc>
          <w:tcPr>
            <w:tcW w:w="1093"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139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S20-4</w:t>
            </w:r>
          </w:p>
        </w:tc>
        <w:tc>
          <w:tcPr>
            <w:tcW w:w="150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22.62</w:t>
            </w:r>
          </w:p>
        </w:tc>
        <w:tc>
          <w:tcPr>
            <w:tcW w:w="1274"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0.037</w:t>
            </w:r>
          </w:p>
        </w:tc>
        <w:tc>
          <w:tcPr>
            <w:tcW w:w="1181"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154.81</w:t>
            </w:r>
          </w:p>
        </w:tc>
        <w:tc>
          <w:tcPr>
            <w:tcW w:w="151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5.69</w:t>
            </w:r>
          </w:p>
        </w:tc>
        <w:tc>
          <w:tcPr>
            <w:tcW w:w="102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r>
    </w:tbl>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Source: FIPAI (2015)</w:t>
      </w:r>
    </w:p>
    <w:p w:rsidR="00797A6E" w:rsidRPr="00927D2C" w:rsidRDefault="000D7BD9">
      <w:pPr>
        <w:pBdr>
          <w:top w:val="nil"/>
          <w:left w:val="nil"/>
          <w:bottom w:val="nil"/>
          <w:right w:val="nil"/>
          <w:between w:val="nil"/>
        </w:pBdr>
        <w:spacing w:before="240" w:after="24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lastRenderedPageBreak/>
        <w:t>Table 3 - Hydraulic characteristics’ measurements of Mogi-Guaçu’s reservoir in the second survey</w:t>
      </w:r>
    </w:p>
    <w:tbl>
      <w:tblPr>
        <w:tblStyle w:val="a1"/>
        <w:tblW w:w="9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85"/>
        <w:gridCol w:w="1472"/>
        <w:gridCol w:w="1418"/>
        <w:gridCol w:w="1219"/>
        <w:gridCol w:w="1235"/>
        <w:gridCol w:w="1486"/>
        <w:gridCol w:w="1049"/>
      </w:tblGrid>
      <w:tr w:rsidR="00797A6E" w:rsidRPr="00927D2C" w:rsidTr="00643064">
        <w:trPr>
          <w:trHeight w:val="20"/>
        </w:trPr>
        <w:tc>
          <w:tcPr>
            <w:tcW w:w="1185"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w:t>
            </w:r>
          </w:p>
        </w:tc>
        <w:tc>
          <w:tcPr>
            <w:tcW w:w="1472"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Measurement</w:t>
            </w:r>
          </w:p>
        </w:tc>
        <w:tc>
          <w:tcPr>
            <w:tcW w:w="1418" w:type="dxa"/>
            <w:vAlign w:val="center"/>
          </w:tcPr>
          <w:p w:rsidR="00797A6E" w:rsidRPr="00927D2C" w:rsidRDefault="000D7BD9">
            <w:pPr>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Mean water discharge</w:t>
            </w:r>
          </w:p>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(m³.s</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1219"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Mean Velocity (m.s</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1235"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 xml:space="preserve">Width </w:t>
            </w:r>
            <w:r w:rsidRPr="00927D2C">
              <w:rPr>
                <w:rFonts w:ascii="Palatino Linotype" w:eastAsia="Palatino Linotype" w:hAnsi="Palatino Linotype" w:cs="Palatino Linotype"/>
                <w:b/>
                <w:sz w:val="20"/>
                <w:szCs w:val="20"/>
                <w:lang w:val="en-US"/>
              </w:rPr>
              <w:t>(m)</w:t>
            </w:r>
          </w:p>
        </w:tc>
        <w:tc>
          <w:tcPr>
            <w:tcW w:w="1486"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Mean Depth (m)</w:t>
            </w:r>
          </w:p>
        </w:tc>
        <w:tc>
          <w:tcPr>
            <w:tcW w:w="1049" w:type="dxa"/>
            <w:vAlign w:val="center"/>
          </w:tcPr>
          <w:p w:rsidR="00797A6E" w:rsidRPr="00927D2C" w:rsidRDefault="000D7BD9">
            <w:pPr>
              <w:jc w:val="center"/>
              <w:rPr>
                <w:rFonts w:ascii="Palatino Linotype" w:eastAsia="Palatino Linotype" w:hAnsi="Palatino Linotype" w:cs="Palatino Linotype"/>
                <w:b/>
                <w:color w:val="000000"/>
                <w:sz w:val="20"/>
                <w:szCs w:val="20"/>
                <w:vertAlign w:val="subscript"/>
                <w:lang w:val="en-US"/>
              </w:rPr>
            </w:pPr>
            <w:r w:rsidRPr="00927D2C">
              <w:rPr>
                <w:rFonts w:ascii="Palatino Linotype" w:eastAsia="Palatino Linotype" w:hAnsi="Palatino Linotype" w:cs="Palatino Linotype"/>
                <w:b/>
                <w:color w:val="000000"/>
                <w:sz w:val="20"/>
                <w:szCs w:val="20"/>
                <w:lang w:val="en-US"/>
              </w:rPr>
              <w:t>SSC</w:t>
            </w:r>
          </w:p>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color w:val="000000"/>
                <w:sz w:val="20"/>
                <w:szCs w:val="20"/>
                <w:lang w:val="en-US"/>
              </w:rPr>
              <w:t>(mg.L</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21.09</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0.051</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51.31</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7.54</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20.000</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16.8</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54.8</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7.46</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20.45</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0.051</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56.83</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7.36</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6</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20.01</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0.051</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52.13</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6.69</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15.500</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19.38</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0.056</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55.44</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6.45</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19.37</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0.054</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54.36</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6.62</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8</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20.78</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0.053</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58.54</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6.88</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14.000</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20.72</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0.053</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56.93</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7.23</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24.36</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0.06</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57.77</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7.11</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12</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28.53</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0.042</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113.27</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6.79</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20.500</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26.5</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0.038</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118.21</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6.50</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28.67</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0.04</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112.93</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6.75</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16</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40.38</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0.022</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616.41</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3.15</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14.862</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35.21</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0.024</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625.81</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2.99</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41.26</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0.021</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622.87</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3.27</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val="restart"/>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19</w:t>
            </w: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S19-1</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24.51</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0.025</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258.3</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6.13</w:t>
            </w:r>
          </w:p>
        </w:tc>
        <w:tc>
          <w:tcPr>
            <w:tcW w:w="1049" w:type="dxa"/>
            <w:vMerge w:val="restart"/>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8.942</w:t>
            </w: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S19-2</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23.47</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0.015</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264.95</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5.93</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r w:rsidR="00797A6E" w:rsidRPr="00927D2C" w:rsidTr="00643064">
        <w:trPr>
          <w:trHeight w:val="20"/>
        </w:trPr>
        <w:tc>
          <w:tcPr>
            <w:tcW w:w="1185" w:type="dxa"/>
            <w:vMerge/>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c>
          <w:tcPr>
            <w:tcW w:w="1472"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S19-3</w:t>
            </w:r>
          </w:p>
        </w:tc>
        <w:tc>
          <w:tcPr>
            <w:tcW w:w="1418"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18.08</w:t>
            </w:r>
          </w:p>
        </w:tc>
        <w:tc>
          <w:tcPr>
            <w:tcW w:w="1219"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0.018</w:t>
            </w:r>
          </w:p>
        </w:tc>
        <w:tc>
          <w:tcPr>
            <w:tcW w:w="1235"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264.92</w:t>
            </w:r>
          </w:p>
        </w:tc>
        <w:tc>
          <w:tcPr>
            <w:tcW w:w="1486" w:type="dxa"/>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5.96</w:t>
            </w:r>
          </w:p>
        </w:tc>
        <w:tc>
          <w:tcPr>
            <w:tcW w:w="1049" w:type="dxa"/>
            <w:vMerge/>
            <w:vAlign w:val="center"/>
          </w:tcPr>
          <w:p w:rsidR="00797A6E" w:rsidRPr="00927D2C" w:rsidRDefault="00797A6E">
            <w:pPr>
              <w:widowControl w:val="0"/>
              <w:pBdr>
                <w:top w:val="nil"/>
                <w:left w:val="nil"/>
                <w:bottom w:val="nil"/>
                <w:right w:val="nil"/>
                <w:between w:val="nil"/>
              </w:pBdr>
              <w:spacing w:line="276" w:lineRule="auto"/>
              <w:rPr>
                <w:rFonts w:ascii="Palatino Linotype" w:eastAsia="Palatino Linotype" w:hAnsi="Palatino Linotype" w:cs="Palatino Linotype"/>
                <w:sz w:val="20"/>
                <w:szCs w:val="20"/>
                <w:lang w:val="en-US"/>
              </w:rPr>
            </w:pPr>
          </w:p>
        </w:tc>
      </w:tr>
    </w:tbl>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Source: FIPAI (2015)</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With the exception of the results of section 16, it was noticed that the water discharge in all the sections presented similar results, ranging from 20.76 </w:t>
      </w:r>
      <w:proofErr w:type="gramStart"/>
      <w:r w:rsidRPr="00927D2C">
        <w:rPr>
          <w:rFonts w:ascii="Palatino Linotype" w:eastAsia="Palatino Linotype" w:hAnsi="Palatino Linotype" w:cs="Palatino Linotype"/>
          <w:sz w:val="20"/>
          <w:szCs w:val="20"/>
          <w:lang w:val="en-US"/>
        </w:rPr>
        <w:t>to 28.67 m³.s-1</w:t>
      </w:r>
      <w:proofErr w:type="gramEnd"/>
      <w:r w:rsidRPr="00927D2C">
        <w:rPr>
          <w:rFonts w:ascii="Palatino Linotype" w:eastAsia="Palatino Linotype" w:hAnsi="Palatino Linotype" w:cs="Palatino Linotype"/>
          <w:sz w:val="20"/>
          <w:szCs w:val="20"/>
          <w:lang w:val="en-US"/>
        </w:rPr>
        <w:t>. Regarding section 16, because of its greater width in the reservoir along with the intensity of the winds, that varies between 0.219 and 0.533 m.s-1 in the first campaign and 0.780 and 1.256 m.s-1 in the second one, there were difficulties in measuring because of the waves formed in the reservoir that prevented the ADCP from being vertical 100% of the time, impairing the quality of results for this section in both campaigns.</w:t>
      </w:r>
    </w:p>
    <w:p w:rsidR="00797A6E" w:rsidRPr="00927D2C" w:rsidRDefault="000D7BD9">
      <w:pPr>
        <w:pBdr>
          <w:top w:val="nil"/>
          <w:left w:val="nil"/>
          <w:bottom w:val="nil"/>
          <w:right w:val="nil"/>
          <w:between w:val="nil"/>
        </w:pBdr>
        <w:spacing w:before="360" w:after="200" w:line="240" w:lineRule="auto"/>
        <w:rPr>
          <w:rFonts w:ascii="Palatino Linotype" w:eastAsia="Palatino Linotype" w:hAnsi="Palatino Linotype" w:cs="Palatino Linotype"/>
          <w:b/>
          <w:lang w:val="en-US"/>
        </w:rPr>
      </w:pPr>
      <w:r w:rsidRPr="00927D2C">
        <w:rPr>
          <w:rFonts w:ascii="Palatino Linotype" w:eastAsia="Palatino Linotype" w:hAnsi="Palatino Linotype" w:cs="Palatino Linotype"/>
          <w:b/>
          <w:color w:val="000000"/>
          <w:lang w:val="en-US"/>
        </w:rPr>
        <w:t xml:space="preserve">3.1. </w:t>
      </w:r>
      <w:r w:rsidRPr="00927D2C">
        <w:rPr>
          <w:rFonts w:ascii="Palatino Linotype" w:eastAsia="Palatino Linotype" w:hAnsi="Palatino Linotype" w:cs="Palatino Linotype"/>
          <w:b/>
          <w:lang w:val="en-US"/>
        </w:rPr>
        <w:t>Simulations in the developed computational tool</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The NH Statistic and Sediment Computational Tool (NHSS) </w:t>
      </w:r>
      <w:proofErr w:type="gramStart"/>
      <w:r w:rsidRPr="00927D2C">
        <w:rPr>
          <w:rFonts w:ascii="Palatino Linotype" w:eastAsia="Palatino Linotype" w:hAnsi="Palatino Linotype" w:cs="Palatino Linotype"/>
          <w:sz w:val="20"/>
          <w:szCs w:val="20"/>
          <w:lang w:val="en-US"/>
        </w:rPr>
        <w:t>has</w:t>
      </w:r>
      <w:proofErr w:type="gramEnd"/>
      <w:r w:rsidRPr="00927D2C">
        <w:rPr>
          <w:rFonts w:ascii="Palatino Linotype" w:eastAsia="Palatino Linotype" w:hAnsi="Palatino Linotype" w:cs="Palatino Linotype"/>
          <w:sz w:val="20"/>
          <w:szCs w:val="20"/>
          <w:lang w:val="en-US"/>
        </w:rPr>
        <w:t xml:space="preserve"> a hydro-sedimentological module and a statistic one that can be selected by the user according to their objectives (Figure 9). In this paper, we present the hydro-sedimentological module that uses Colby's procedure (1957) to estimate the total solid discharge in water bodies (Figure 10). The tool allows the user to enter the data of water discharge (m³.s-1), mean velocity (ms-1), width (m), mean depth (m) and mean concentration (mg.L-1) in the fields highlighted in yellow and the results obtained are shown in the gray fields.</w:t>
      </w:r>
    </w:p>
    <w:p w:rsidR="00797A6E" w:rsidRPr="00927D2C" w:rsidRDefault="000D7BD9">
      <w:pPr>
        <w:spacing w:after="0"/>
        <w:jc w:val="center"/>
        <w:rPr>
          <w:rFonts w:ascii="Palatino Linotype" w:eastAsia="Palatino Linotype" w:hAnsi="Palatino Linotype" w:cs="Palatino Linotype"/>
          <w:sz w:val="20"/>
          <w:szCs w:val="20"/>
          <w:lang w:val="en-US"/>
        </w:rPr>
      </w:pPr>
      <w:r w:rsidRPr="00927D2C">
        <w:rPr>
          <w:noProof/>
        </w:rPr>
        <w:lastRenderedPageBreak/>
        <w:drawing>
          <wp:inline distT="0" distB="0" distL="0" distR="0">
            <wp:extent cx="4983189" cy="2679352"/>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cstate="print"/>
                    <a:srcRect/>
                    <a:stretch>
                      <a:fillRect/>
                    </a:stretch>
                  </pic:blipFill>
                  <pic:spPr>
                    <a:xfrm>
                      <a:off x="0" y="0"/>
                      <a:ext cx="4983189" cy="2679352"/>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Figure 9 - Total sediment discharge estimate screen using Colby’s simplified procedure</w:t>
      </w:r>
      <w:r w:rsidRPr="00927D2C">
        <w:rPr>
          <w:rFonts w:ascii="Palatino Linotype" w:eastAsia="Palatino Linotype" w:hAnsi="Palatino Linotype" w:cs="Palatino Linotype"/>
          <w:color w:val="000000"/>
          <w:sz w:val="16"/>
          <w:szCs w:val="16"/>
          <w:lang w:val="en-US"/>
        </w:rPr>
        <w:t xml:space="preserve"> (1957)</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Santos (2019)</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jc w:val="center"/>
        <w:rPr>
          <w:rFonts w:ascii="Palatino Linotype" w:eastAsia="Palatino Linotype" w:hAnsi="Palatino Linotype" w:cs="Palatino Linotype"/>
          <w:sz w:val="20"/>
          <w:szCs w:val="20"/>
          <w:lang w:val="en-US"/>
        </w:rPr>
      </w:pPr>
      <w:r w:rsidRPr="00927D2C">
        <w:rPr>
          <w:noProof/>
        </w:rPr>
        <w:drawing>
          <wp:inline distT="0" distB="0" distL="0" distR="0">
            <wp:extent cx="5612130" cy="266446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cstate="print"/>
                    <a:srcRect/>
                    <a:stretch>
                      <a:fillRect/>
                    </a:stretch>
                  </pic:blipFill>
                  <pic:spPr>
                    <a:xfrm>
                      <a:off x="0" y="0"/>
                      <a:ext cx="5612130" cy="2664460"/>
                    </a:xfrm>
                    <a:prstGeom prst="rect">
                      <a:avLst/>
                    </a:prstGeom>
                    <a:ln/>
                  </pic:spPr>
                </pic:pic>
              </a:graphicData>
            </a:graphic>
          </wp:inline>
        </w:drawing>
      </w:r>
    </w:p>
    <w:p w:rsidR="00797A6E" w:rsidRPr="00927D2C" w:rsidRDefault="000D7BD9">
      <w:pPr>
        <w:spacing w:after="0"/>
        <w:rPr>
          <w:rFonts w:ascii="Palatino Linotype" w:eastAsia="Palatino Linotype" w:hAnsi="Palatino Linotype" w:cs="Palatino Linotype"/>
          <w:sz w:val="16"/>
          <w:szCs w:val="16"/>
          <w:lang w:val="en-US"/>
        </w:rPr>
      </w:pPr>
      <w:bookmarkStart w:id="3" w:name="_30j0zll" w:colFirst="0" w:colLast="0"/>
      <w:bookmarkEnd w:id="3"/>
      <w:r w:rsidRPr="00927D2C">
        <w:rPr>
          <w:rFonts w:ascii="Palatino Linotype" w:eastAsia="Palatino Linotype" w:hAnsi="Palatino Linotype" w:cs="Palatino Linotype"/>
          <w:sz w:val="16"/>
          <w:szCs w:val="16"/>
          <w:lang w:val="en-US"/>
        </w:rPr>
        <w:t>Figure 10 - Total sediment discharge estimate screen using Colby’s simplified procedure (1957)</w:t>
      </w:r>
    </w:p>
    <w:p w:rsidR="00797A6E" w:rsidRPr="00927D2C" w:rsidRDefault="000D7BD9">
      <w:pPr>
        <w:spacing w:after="0"/>
        <w:rPr>
          <w:rFonts w:ascii="Palatino Linotype" w:eastAsia="Palatino Linotype" w:hAnsi="Palatino Linotype" w:cs="Palatino Linotype"/>
          <w:sz w:val="16"/>
          <w:szCs w:val="16"/>
          <w:shd w:val="clear" w:color="auto" w:fill="D5A6BE"/>
          <w:lang w:val="en-US"/>
        </w:rPr>
      </w:pPr>
      <w:r w:rsidRPr="00927D2C">
        <w:rPr>
          <w:rFonts w:ascii="Palatino Linotype" w:eastAsia="Palatino Linotype" w:hAnsi="Palatino Linotype" w:cs="Palatino Linotype"/>
          <w:sz w:val="16"/>
          <w:szCs w:val="16"/>
          <w:lang w:val="en-US"/>
        </w:rPr>
        <w:t>Source: Santos (2019)</w:t>
      </w: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Figure 11 shows the screen with the data used in the computational tool to estimate the total sediment discharge for the first survey and Table 4 presents a summary containing the respective obtained results. The values ​​of sediment discharge presented mean values ​​in the sections of the Mogi-Guaçu reservoir varying between </w:t>
      </w:r>
      <w:proofErr w:type="gramStart"/>
      <w:r w:rsidRPr="00927D2C">
        <w:rPr>
          <w:rFonts w:ascii="Palatino Linotype" w:eastAsia="Palatino Linotype" w:hAnsi="Palatino Linotype" w:cs="Palatino Linotype"/>
          <w:sz w:val="20"/>
          <w:szCs w:val="20"/>
          <w:lang w:val="en-US"/>
        </w:rPr>
        <w:t>117.68 t.day-1 (Section 1)</w:t>
      </w:r>
      <w:proofErr w:type="gramEnd"/>
      <w:r w:rsidRPr="00927D2C">
        <w:rPr>
          <w:rFonts w:ascii="Palatino Linotype" w:eastAsia="Palatino Linotype" w:hAnsi="Palatino Linotype" w:cs="Palatino Linotype"/>
          <w:sz w:val="20"/>
          <w:szCs w:val="20"/>
          <w:lang w:val="en-US"/>
        </w:rPr>
        <w:t xml:space="preserve"> and 42.33 t.day-1 (Section 20). In addition, the Qst decrease along the reservoir was observed mainly in sections 12, 16 and 20 due to the increase in the width of the reservoir where there is a reduction in the depth which identifies the formation of a sediment deposition delta. In these sections, the classes of greater granulometry were deposited, reducing the amount of sediment being transported.</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noProof/>
          <w:sz w:val="20"/>
          <w:szCs w:val="20"/>
        </w:rPr>
        <w:lastRenderedPageBreak/>
        <w:drawing>
          <wp:inline distT="0" distB="0" distL="0" distR="0">
            <wp:extent cx="5760000" cy="2229453"/>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cstate="print"/>
                    <a:srcRect/>
                    <a:stretch>
                      <a:fillRect/>
                    </a:stretch>
                  </pic:blipFill>
                  <pic:spPr>
                    <a:xfrm>
                      <a:off x="0" y="0"/>
                      <a:ext cx="5760000" cy="2229453"/>
                    </a:xfrm>
                    <a:prstGeom prst="rect">
                      <a:avLst/>
                    </a:prstGeom>
                    <a:ln/>
                  </pic:spPr>
                </pic:pic>
              </a:graphicData>
            </a:graphic>
          </wp:inline>
        </w:drawing>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color w:val="000000"/>
          <w:sz w:val="16"/>
          <w:szCs w:val="16"/>
          <w:lang w:val="en-US"/>
        </w:rPr>
        <w:t xml:space="preserve">Figure 11 – Total sediment discharge calculation in different </w:t>
      </w:r>
      <w:r w:rsidRPr="00927D2C">
        <w:rPr>
          <w:rFonts w:ascii="Palatino Linotype" w:eastAsia="Palatino Linotype" w:hAnsi="Palatino Linotype" w:cs="Palatino Linotype"/>
          <w:sz w:val="16"/>
          <w:szCs w:val="16"/>
          <w:lang w:val="en-US"/>
        </w:rPr>
        <w:t>sections (Survey 1)</w:t>
      </w:r>
    </w:p>
    <w:p w:rsidR="00797A6E" w:rsidRPr="00927D2C" w:rsidRDefault="000D7BD9">
      <w:pPr>
        <w:pBdr>
          <w:top w:val="nil"/>
          <w:left w:val="nil"/>
          <w:bottom w:val="nil"/>
          <w:right w:val="nil"/>
          <w:between w:val="nil"/>
        </w:pBdr>
        <w:spacing w:after="0"/>
        <w:rPr>
          <w:rFonts w:ascii="Palatino Linotype" w:eastAsia="Palatino Linotype" w:hAnsi="Palatino Linotype" w:cs="Palatino Linotype"/>
          <w:color w:val="000000"/>
          <w:sz w:val="16"/>
          <w:szCs w:val="16"/>
          <w:lang w:val="en-US"/>
        </w:rPr>
      </w:pPr>
      <w:r w:rsidRPr="00927D2C">
        <w:rPr>
          <w:rFonts w:ascii="Palatino Linotype" w:eastAsia="Palatino Linotype" w:hAnsi="Palatino Linotype" w:cs="Palatino Linotype"/>
          <w:sz w:val="16"/>
          <w:szCs w:val="16"/>
          <w:lang w:val="en-US"/>
        </w:rPr>
        <w:t>Source</w:t>
      </w:r>
      <w:r w:rsidRPr="00927D2C">
        <w:rPr>
          <w:rFonts w:ascii="Palatino Linotype" w:eastAsia="Palatino Linotype" w:hAnsi="Palatino Linotype" w:cs="Palatino Linotype"/>
          <w:color w:val="000000"/>
          <w:sz w:val="16"/>
          <w:szCs w:val="16"/>
          <w:lang w:val="en-US"/>
        </w:rPr>
        <w:t>: Authors</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pBdr>
          <w:top w:val="nil"/>
          <w:left w:val="nil"/>
          <w:bottom w:val="nil"/>
          <w:right w:val="nil"/>
          <w:between w:val="nil"/>
        </w:pBdr>
        <w:spacing w:before="240" w:after="24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Table 4 - Total sediment discharge data synthesis obtained in the Computational tool NHSS (Survey 1)</w:t>
      </w:r>
    </w:p>
    <w:tbl>
      <w:tblPr>
        <w:tblStyle w:val="a2"/>
        <w:tblW w:w="8830" w:type="dxa"/>
        <w:tblInd w:w="0" w:type="dxa"/>
        <w:tblLayout w:type="fixed"/>
        <w:tblLook w:val="0400"/>
      </w:tblPr>
      <w:tblGrid>
        <w:gridCol w:w="1546"/>
        <w:gridCol w:w="929"/>
        <w:gridCol w:w="993"/>
        <w:gridCol w:w="947"/>
        <w:gridCol w:w="1411"/>
        <w:gridCol w:w="1506"/>
        <w:gridCol w:w="1498"/>
      </w:tblGrid>
      <w:tr w:rsidR="00797A6E" w:rsidRPr="004A63EE">
        <w:trPr>
          <w:trHeight w:val="20"/>
        </w:trPr>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Sections</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Measurement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Mean water discharge</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w:t>
            </w:r>
            <w:r w:rsidRPr="00927D2C">
              <w:rPr>
                <w:rFonts w:ascii="Palatino Linotype" w:eastAsia="Palatino Linotype" w:hAnsi="Palatino Linotype" w:cs="Palatino Linotype"/>
                <w:b/>
                <w:sz w:val="20"/>
                <w:szCs w:val="20"/>
                <w:vertAlign w:val="superscript"/>
                <w:lang w:val="en-US"/>
              </w:rPr>
              <w:t>3</w:t>
            </w:r>
            <w:r w:rsidRPr="00927D2C">
              <w:rPr>
                <w:rFonts w:ascii="Palatino Linotype" w:eastAsia="Palatino Linotype" w:hAnsi="Palatino Linotype" w:cs="Palatino Linotype"/>
                <w:b/>
                <w:sz w:val="20"/>
                <w:szCs w:val="20"/>
                <w:lang w:val="en-US"/>
              </w:rPr>
              <w:t>.s</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vertAlign w:val="subscript"/>
                <w:lang w:val="en-US"/>
              </w:rPr>
            </w:pPr>
            <w:r w:rsidRPr="00927D2C">
              <w:rPr>
                <w:rFonts w:ascii="Palatino Linotype" w:eastAsia="Palatino Linotype" w:hAnsi="Palatino Linotype" w:cs="Palatino Linotype"/>
                <w:b/>
                <w:sz w:val="20"/>
                <w:szCs w:val="20"/>
                <w:lang w:val="en-US"/>
              </w:rPr>
              <w:t>SS</w:t>
            </w:r>
            <w:r w:rsidRPr="00927D2C">
              <w:rPr>
                <w:rFonts w:ascii="Palatino Linotype" w:eastAsia="Palatino Linotype" w:hAnsi="Palatino Linotype" w:cs="Palatino Linotype"/>
                <w:b/>
                <w:sz w:val="20"/>
                <w:szCs w:val="20"/>
                <w:vertAlign w:val="subscript"/>
                <w:lang w:val="en-US"/>
              </w:rPr>
              <w:t>C</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(mg.L</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Measured load – Qss</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Unmeasured load – Qnm</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Total solid discharge – Qst</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r>
      <w:tr w:rsidR="00797A6E" w:rsidRPr="00927D2C">
        <w:trPr>
          <w:trHeight w:val="20"/>
        </w:trPr>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 (S1)</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993" w:type="dxa"/>
            <w:tcBorders>
              <w:top w:val="single" w:sz="4" w:space="0" w:color="000000"/>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22</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59</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c>
          <w:tcPr>
            <w:tcW w:w="1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123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464</w:t>
            </w:r>
          </w:p>
        </w:tc>
        <w:tc>
          <w:tcPr>
            <w:tcW w:w="1506"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338</w:t>
            </w:r>
          </w:p>
        </w:tc>
        <w:tc>
          <w:tcPr>
            <w:tcW w:w="1498"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126</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801</w:t>
            </w:r>
          </w:p>
        </w:tc>
      </w:tr>
      <w:tr w:rsidR="00797A6E" w:rsidRPr="00927D2C">
        <w:trPr>
          <w:trHeight w:val="20"/>
        </w:trPr>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21</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83</w:t>
            </w: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281</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768</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049</w:t>
            </w:r>
          </w:p>
        </w:tc>
      </w:tr>
      <w:tr w:rsidR="00797A6E" w:rsidRPr="00927D2C">
        <w:trPr>
          <w:trHeight w:val="20"/>
        </w:trPr>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21</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65</w:t>
            </w: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110</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363</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637</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r>
      <w:tr w:rsidR="00797A6E" w:rsidRPr="00927D2C">
        <w:trPr>
          <w:trHeight w:val="20"/>
        </w:trPr>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31</w:t>
            </w:r>
          </w:p>
        </w:tc>
        <w:tc>
          <w:tcPr>
            <w:tcW w:w="9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727</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144</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116</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872</w:t>
            </w:r>
          </w:p>
        </w:tc>
      </w:tr>
      <w:tr w:rsidR="00797A6E" w:rsidRPr="00927D2C">
        <w:trPr>
          <w:trHeight w:val="20"/>
        </w:trPr>
        <w:tc>
          <w:tcPr>
            <w:tcW w:w="1546"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6 (S6)</w:t>
            </w: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64</w:t>
            </w:r>
          </w:p>
        </w:tc>
        <w:tc>
          <w:tcPr>
            <w:tcW w:w="94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52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500</w:t>
            </w: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695</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726</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421</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95</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101</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263</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364</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93</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082</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961</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118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043</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5</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060</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847</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105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907</w:t>
            </w:r>
          </w:p>
        </w:tc>
      </w:tr>
      <w:tr w:rsidR="00797A6E" w:rsidRPr="00927D2C">
        <w:trPr>
          <w:trHeight w:val="20"/>
        </w:trPr>
        <w:tc>
          <w:tcPr>
            <w:tcW w:w="1546"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8 (S8)</w:t>
            </w: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21</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77</w:t>
            </w:r>
          </w:p>
        </w:tc>
        <w:tc>
          <w:tcPr>
            <w:tcW w:w="94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642</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574</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215</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03</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653</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545</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198</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89</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996</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034</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92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031</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83</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763</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830</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91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593</w:t>
            </w:r>
          </w:p>
        </w:tc>
      </w:tr>
      <w:tr w:rsidR="00797A6E" w:rsidRPr="00927D2C">
        <w:trPr>
          <w:trHeight w:val="20"/>
        </w:trPr>
        <w:tc>
          <w:tcPr>
            <w:tcW w:w="1546"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12 (S12)</w:t>
            </w: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27</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61</w:t>
            </w:r>
          </w:p>
        </w:tc>
        <w:tc>
          <w:tcPr>
            <w:tcW w:w="94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500</w:t>
            </w: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84</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685</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315</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76</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69</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809</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837</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71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647</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8</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76</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067</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007</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78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074</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20</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76</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675</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750</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65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425</w:t>
            </w:r>
          </w:p>
        </w:tc>
      </w:tr>
      <w:tr w:rsidR="00797A6E" w:rsidRPr="00927D2C">
        <w:trPr>
          <w:trHeight w:val="20"/>
        </w:trPr>
        <w:tc>
          <w:tcPr>
            <w:tcW w:w="1546"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16 (S16)</w:t>
            </w: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21</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77</w:t>
            </w:r>
          </w:p>
        </w:tc>
        <w:tc>
          <w:tcPr>
            <w:tcW w:w="947"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25</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023</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491</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514</w:t>
            </w:r>
          </w:p>
        </w:tc>
      </w:tr>
      <w:tr w:rsidR="00797A6E" w:rsidRPr="00927D2C">
        <w:trPr>
          <w:trHeight w:val="20"/>
        </w:trPr>
        <w:tc>
          <w:tcPr>
            <w:tcW w:w="1546"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20 (S20)</w:t>
            </w: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S20-1</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27</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39</w:t>
            </w:r>
          </w:p>
        </w:tc>
        <w:tc>
          <w:tcPr>
            <w:tcW w:w="947" w:type="dxa"/>
            <w:vMerge w:val="restart"/>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19</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670</w:t>
            </w: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46</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549</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026</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575</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S20-2</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24</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87</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42</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266</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392</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43</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658</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S20-3</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06</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37</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491</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0</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678</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168</w:t>
            </w:r>
          </w:p>
        </w:tc>
      </w:tr>
      <w:tr w:rsidR="00797A6E" w:rsidRPr="00927D2C">
        <w:trPr>
          <w:trHeight w:val="20"/>
        </w:trPr>
        <w:tc>
          <w:tcPr>
            <w:tcW w:w="1546"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29"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S20-4</w:t>
            </w:r>
          </w:p>
        </w:tc>
        <w:tc>
          <w:tcPr>
            <w:tcW w:w="993" w:type="dxa"/>
            <w:tcBorders>
              <w:top w:val="nil"/>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22</w:t>
            </w:r>
            <w:r w:rsidR="00BC55E0">
              <w:rPr>
                <w:rFonts w:ascii="Palatino Linotype" w:eastAsia="Palatino Linotype" w:hAnsi="Palatino Linotype" w:cs="Palatino Linotype"/>
                <w:sz w:val="20"/>
                <w:szCs w:val="20"/>
                <w:lang w:val="en-US"/>
              </w:rPr>
              <w:t>.</w:t>
            </w:r>
            <w:r w:rsidRPr="00927D2C">
              <w:rPr>
                <w:rFonts w:ascii="Palatino Linotype" w:eastAsia="Palatino Linotype" w:hAnsi="Palatino Linotype" w:cs="Palatino Linotype"/>
                <w:sz w:val="20"/>
                <w:szCs w:val="20"/>
                <w:lang w:val="en-US"/>
              </w:rPr>
              <w:t>62</w:t>
            </w:r>
          </w:p>
        </w:tc>
        <w:tc>
          <w:tcPr>
            <w:tcW w:w="947" w:type="dxa"/>
            <w:vMerge/>
            <w:tcBorders>
              <w:top w:val="nil"/>
              <w:left w:val="single" w:sz="4" w:space="0" w:color="000000"/>
              <w:bottom w:val="single" w:sz="4" w:space="0" w:color="000000"/>
              <w:right w:val="single" w:sz="4" w:space="0" w:color="000000"/>
            </w:tcBorders>
            <w:shd w:val="clear" w:color="auto" w:fill="auto"/>
            <w:vAlign w:val="center"/>
          </w:tcPr>
          <w:p w:rsidR="00797A6E" w:rsidRPr="00927D2C" w:rsidRDefault="00797A6E">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411" w:type="dxa"/>
            <w:tcBorders>
              <w:top w:val="nil"/>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38</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442</w:t>
            </w:r>
          </w:p>
        </w:tc>
        <w:tc>
          <w:tcPr>
            <w:tcW w:w="1506"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493</w:t>
            </w:r>
          </w:p>
        </w:tc>
        <w:tc>
          <w:tcPr>
            <w:tcW w:w="1498" w:type="dxa"/>
            <w:tcBorders>
              <w:top w:val="nil"/>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39</w:t>
            </w:r>
            <w:r w:rsidR="00BC55E0">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935</w:t>
            </w:r>
          </w:p>
        </w:tc>
      </w:tr>
    </w:tbl>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In order to compare and verify the temporal variation of the Qst in the Mogi-Guaçu reservoir, Figure 12 shows the screen with the data used in the computational tool to estimate the total sediment discharge for the second survey and Table 5 contains the obtained results.</w:t>
      </w:r>
    </w:p>
    <w:p w:rsidR="00797A6E" w:rsidRPr="00927D2C" w:rsidRDefault="000D7BD9">
      <w:pPr>
        <w:spacing w:after="0"/>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noProof/>
          <w:sz w:val="20"/>
          <w:szCs w:val="20"/>
        </w:rPr>
        <w:lastRenderedPageBreak/>
        <w:drawing>
          <wp:inline distT="0" distB="0" distL="0" distR="0">
            <wp:extent cx="5760000" cy="1977988"/>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cstate="print"/>
                    <a:srcRect/>
                    <a:stretch>
                      <a:fillRect/>
                    </a:stretch>
                  </pic:blipFill>
                  <pic:spPr>
                    <a:xfrm>
                      <a:off x="0" y="0"/>
                      <a:ext cx="5760000" cy="1977988"/>
                    </a:xfrm>
                    <a:prstGeom prst="rect">
                      <a:avLst/>
                    </a:prstGeom>
                    <a:ln/>
                  </pic:spPr>
                </pic:pic>
              </a:graphicData>
            </a:graphic>
          </wp:inline>
        </w:drawing>
      </w:r>
    </w:p>
    <w:p w:rsidR="00797A6E" w:rsidRPr="00927D2C" w:rsidRDefault="000D7BD9">
      <w:pPr>
        <w:spacing w:after="0"/>
        <w:rPr>
          <w:rFonts w:ascii="Palatino Linotype" w:eastAsia="Palatino Linotype" w:hAnsi="Palatino Linotype" w:cs="Palatino Linotype"/>
          <w:sz w:val="16"/>
          <w:szCs w:val="16"/>
          <w:lang w:val="en-US"/>
        </w:rPr>
      </w:pPr>
      <w:r w:rsidRPr="00927D2C">
        <w:rPr>
          <w:rFonts w:ascii="Palatino Linotype" w:eastAsia="Palatino Linotype" w:hAnsi="Palatino Linotype" w:cs="Palatino Linotype"/>
          <w:sz w:val="16"/>
          <w:szCs w:val="16"/>
          <w:lang w:val="en-US"/>
        </w:rPr>
        <w:t>Figure 12 – Total sediment discharge calculation in different sections (Survey 2)</w:t>
      </w:r>
    </w:p>
    <w:p w:rsidR="00797A6E" w:rsidRPr="00927D2C" w:rsidRDefault="000D7BD9">
      <w:pPr>
        <w:spacing w:after="0"/>
        <w:rPr>
          <w:rFonts w:ascii="Palatino Linotype" w:eastAsia="Palatino Linotype" w:hAnsi="Palatino Linotype" w:cs="Palatino Linotype"/>
          <w:color w:val="000000"/>
          <w:sz w:val="16"/>
          <w:szCs w:val="16"/>
          <w:shd w:val="clear" w:color="auto" w:fill="D5A6BE"/>
          <w:lang w:val="en-US"/>
        </w:rPr>
      </w:pPr>
      <w:r w:rsidRPr="00927D2C">
        <w:rPr>
          <w:rFonts w:ascii="Palatino Linotype" w:eastAsia="Palatino Linotype" w:hAnsi="Palatino Linotype" w:cs="Palatino Linotype"/>
          <w:sz w:val="16"/>
          <w:szCs w:val="16"/>
          <w:lang w:val="en-US"/>
        </w:rPr>
        <w:t>Source: Authors</w:t>
      </w:r>
    </w:p>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0D7BD9">
      <w:pPr>
        <w:spacing w:before="240" w:after="240" w:line="240" w:lineRule="auto"/>
        <w:jc w:val="center"/>
        <w:rPr>
          <w:rFonts w:ascii="Palatino Linotype" w:eastAsia="Palatino Linotype" w:hAnsi="Palatino Linotype" w:cs="Palatino Linotype"/>
          <w:color w:val="000000"/>
          <w:sz w:val="20"/>
          <w:szCs w:val="20"/>
          <w:shd w:val="clear" w:color="auto" w:fill="D5A6BE"/>
          <w:lang w:val="en-US"/>
        </w:rPr>
      </w:pPr>
      <w:r w:rsidRPr="00927D2C">
        <w:rPr>
          <w:rFonts w:ascii="Palatino Linotype" w:eastAsia="Palatino Linotype" w:hAnsi="Palatino Linotype" w:cs="Palatino Linotype"/>
          <w:sz w:val="20"/>
          <w:szCs w:val="20"/>
          <w:lang w:val="en-US"/>
        </w:rPr>
        <w:t>Table 5 - Total sediment discharge data synthesis obtained in the Computational tool NHSS (Survey 2)</w:t>
      </w:r>
    </w:p>
    <w:tbl>
      <w:tblPr>
        <w:tblStyle w:val="a3"/>
        <w:tblW w:w="8828" w:type="dxa"/>
        <w:tblInd w:w="0" w:type="dxa"/>
        <w:tblLayout w:type="fixed"/>
        <w:tblLook w:val="0400"/>
      </w:tblPr>
      <w:tblGrid>
        <w:gridCol w:w="1518"/>
        <w:gridCol w:w="964"/>
        <w:gridCol w:w="1107"/>
        <w:gridCol w:w="966"/>
        <w:gridCol w:w="1155"/>
        <w:gridCol w:w="1563"/>
        <w:gridCol w:w="1555"/>
      </w:tblGrid>
      <w:tr w:rsidR="00797A6E" w:rsidRPr="004A63EE">
        <w:trPr>
          <w:trHeight w:val="840"/>
        </w:trPr>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Measurement</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Mean water discharge</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w:t>
            </w:r>
            <w:r w:rsidRPr="00927D2C">
              <w:rPr>
                <w:rFonts w:ascii="Palatino Linotype" w:eastAsia="Palatino Linotype" w:hAnsi="Palatino Linotype" w:cs="Palatino Linotype"/>
                <w:b/>
                <w:sz w:val="20"/>
                <w:szCs w:val="20"/>
                <w:vertAlign w:val="superscript"/>
                <w:lang w:val="en-US"/>
              </w:rPr>
              <w:t>3</w:t>
            </w:r>
            <w:r w:rsidRPr="00927D2C">
              <w:rPr>
                <w:rFonts w:ascii="Palatino Linotype" w:eastAsia="Palatino Linotype" w:hAnsi="Palatino Linotype" w:cs="Palatino Linotype"/>
                <w:b/>
                <w:sz w:val="20"/>
                <w:szCs w:val="20"/>
                <w:lang w:val="en-US"/>
              </w:rPr>
              <w:t>.s</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vertAlign w:val="subscript"/>
                <w:lang w:val="en-US"/>
              </w:rPr>
            </w:pPr>
            <w:r w:rsidRPr="00927D2C">
              <w:rPr>
                <w:rFonts w:ascii="Palatino Linotype" w:eastAsia="Palatino Linotype" w:hAnsi="Palatino Linotype" w:cs="Palatino Linotype"/>
                <w:b/>
                <w:sz w:val="20"/>
                <w:szCs w:val="20"/>
                <w:lang w:val="en-US"/>
              </w:rPr>
              <w:t>SS</w:t>
            </w:r>
            <w:r w:rsidRPr="00927D2C">
              <w:rPr>
                <w:rFonts w:ascii="Palatino Linotype" w:eastAsia="Palatino Linotype" w:hAnsi="Palatino Linotype" w:cs="Palatino Linotype"/>
                <w:b/>
                <w:sz w:val="20"/>
                <w:szCs w:val="20"/>
                <w:vertAlign w:val="subscript"/>
                <w:lang w:val="en-US"/>
              </w:rPr>
              <w:t>C</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(mg.L</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Measured load – Qss</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Unmeasured load – Qnm</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Total solid discharge – Qst</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(t.dia</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r>
      <w:tr w:rsidR="001F1AB3" w:rsidRPr="00927D2C" w:rsidTr="003E00F4">
        <w:trPr>
          <w:trHeight w:val="300"/>
        </w:trPr>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 (S1)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1107" w:type="dxa"/>
            <w:tcBorders>
              <w:top w:val="single" w:sz="4" w:space="0" w:color="000000"/>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21.09</w:t>
            </w:r>
          </w:p>
        </w:tc>
        <w:tc>
          <w:tcPr>
            <w:tcW w:w="9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20</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c>
          <w:tcPr>
            <w:tcW w:w="1155" w:type="dxa"/>
            <w:tcBorders>
              <w:top w:val="single" w:sz="4" w:space="0" w:color="000000"/>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36.444</w:t>
            </w:r>
          </w:p>
        </w:tc>
        <w:tc>
          <w:tcPr>
            <w:tcW w:w="1563" w:type="dxa"/>
            <w:tcBorders>
              <w:top w:val="single" w:sz="4" w:space="0" w:color="000000"/>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1.281</w:t>
            </w:r>
          </w:p>
        </w:tc>
        <w:tc>
          <w:tcPr>
            <w:tcW w:w="1555" w:type="dxa"/>
            <w:tcBorders>
              <w:top w:val="single" w:sz="4" w:space="0" w:color="000000"/>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37.725</w:t>
            </w:r>
          </w:p>
        </w:tc>
      </w:tr>
      <w:tr w:rsidR="001F1AB3" w:rsidRPr="00927D2C" w:rsidTr="003E00F4">
        <w:trPr>
          <w:trHeight w:val="300"/>
        </w:trPr>
        <w:tc>
          <w:tcPr>
            <w:tcW w:w="15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16.8</w:t>
            </w:r>
          </w:p>
        </w:tc>
        <w:tc>
          <w:tcPr>
            <w:tcW w:w="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29.030</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1.250</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30.280</w:t>
            </w:r>
          </w:p>
        </w:tc>
      </w:tr>
      <w:tr w:rsidR="001F1AB3" w:rsidRPr="00927D2C" w:rsidTr="003E00F4">
        <w:trPr>
          <w:trHeight w:val="300"/>
        </w:trPr>
        <w:tc>
          <w:tcPr>
            <w:tcW w:w="15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20.45</w:t>
            </w:r>
          </w:p>
        </w:tc>
        <w:tc>
          <w:tcPr>
            <w:tcW w:w="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35.338</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1.352</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36.690</w:t>
            </w:r>
          </w:p>
        </w:tc>
      </w:tr>
      <w:tr w:rsidR="001F1AB3" w:rsidRPr="00927D2C" w:rsidTr="003E00F4">
        <w:trPr>
          <w:trHeight w:val="300"/>
        </w:trPr>
        <w:tc>
          <w:tcPr>
            <w:tcW w:w="1518"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6 (S6)</w:t>
            </w: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20.01</w:t>
            </w:r>
          </w:p>
        </w:tc>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15</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500</w:t>
            </w:r>
          </w:p>
        </w:tc>
        <w:tc>
          <w:tcPr>
            <w:tcW w:w="11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26.797</w:t>
            </w:r>
          </w:p>
        </w:tc>
        <w:tc>
          <w:tcPr>
            <w:tcW w:w="1563"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1.097</w:t>
            </w:r>
          </w:p>
        </w:tc>
        <w:tc>
          <w:tcPr>
            <w:tcW w:w="15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27.895</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19.38</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25.954</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1.183</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27.136</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19.37</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25.940</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1.293</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27.233</w:t>
            </w:r>
          </w:p>
        </w:tc>
      </w:tr>
      <w:tr w:rsidR="001F1AB3" w:rsidRPr="00927D2C" w:rsidTr="003E00F4">
        <w:trPr>
          <w:trHeight w:val="300"/>
        </w:trPr>
        <w:tc>
          <w:tcPr>
            <w:tcW w:w="1518"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8 (S8)</w:t>
            </w: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20.78</w:t>
            </w:r>
          </w:p>
        </w:tc>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14</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000</w:t>
            </w:r>
          </w:p>
        </w:tc>
        <w:tc>
          <w:tcPr>
            <w:tcW w:w="11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25.135</w:t>
            </w:r>
          </w:p>
        </w:tc>
        <w:tc>
          <w:tcPr>
            <w:tcW w:w="1563"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1.274</w:t>
            </w:r>
          </w:p>
        </w:tc>
        <w:tc>
          <w:tcPr>
            <w:tcW w:w="15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26.409</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20.72</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25.063</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1.239</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26.302</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24.36</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29.466</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1.639</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31.105</w:t>
            </w:r>
          </w:p>
        </w:tc>
      </w:tr>
      <w:tr w:rsidR="001F1AB3" w:rsidRPr="00927D2C" w:rsidTr="003E00F4">
        <w:trPr>
          <w:trHeight w:val="300"/>
        </w:trPr>
        <w:tc>
          <w:tcPr>
            <w:tcW w:w="1518"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12 (S12)</w:t>
            </w: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28.53</w:t>
            </w:r>
          </w:p>
        </w:tc>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20</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500</w:t>
            </w:r>
          </w:p>
        </w:tc>
        <w:tc>
          <w:tcPr>
            <w:tcW w:w="11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50.532</w:t>
            </w:r>
          </w:p>
        </w:tc>
        <w:tc>
          <w:tcPr>
            <w:tcW w:w="1563"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1.801</w:t>
            </w:r>
          </w:p>
        </w:tc>
        <w:tc>
          <w:tcPr>
            <w:tcW w:w="15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52.333</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26.5</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46.937</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1.233</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48.170</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28.67</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50.780</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1.618</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52.398</w:t>
            </w:r>
          </w:p>
        </w:tc>
      </w:tr>
      <w:tr w:rsidR="001F1AB3" w:rsidRPr="00927D2C" w:rsidTr="003E00F4">
        <w:trPr>
          <w:trHeight w:val="300"/>
        </w:trPr>
        <w:tc>
          <w:tcPr>
            <w:tcW w:w="1518"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16 (S16)</w:t>
            </w: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S16-1</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40.38</w:t>
            </w:r>
          </w:p>
        </w:tc>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14</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862</w:t>
            </w:r>
          </w:p>
        </w:tc>
        <w:tc>
          <w:tcPr>
            <w:tcW w:w="11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51.851</w:t>
            </w:r>
          </w:p>
        </w:tc>
        <w:tc>
          <w:tcPr>
            <w:tcW w:w="1563"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0.705</w:t>
            </w:r>
          </w:p>
        </w:tc>
        <w:tc>
          <w:tcPr>
            <w:tcW w:w="15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52.556</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35.21</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45.212</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0.878</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46.091</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41.26</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52.981</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0.638</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53.619</w:t>
            </w:r>
          </w:p>
        </w:tc>
      </w:tr>
      <w:tr w:rsidR="001F1AB3" w:rsidRPr="00927D2C" w:rsidTr="003E00F4">
        <w:trPr>
          <w:trHeight w:val="300"/>
        </w:trPr>
        <w:tc>
          <w:tcPr>
            <w:tcW w:w="1518"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Section 19 (S19)</w:t>
            </w: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S19-1</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24.51</w:t>
            </w:r>
          </w:p>
        </w:tc>
        <w:tc>
          <w:tcPr>
            <w:tcW w:w="966" w:type="dxa"/>
            <w:vMerge w:val="restart"/>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8,</w:t>
            </w:r>
            <w:r>
              <w:rPr>
                <w:rFonts w:ascii="Palatino Linotype" w:eastAsia="Palatino Linotype" w:hAnsi="Palatino Linotype" w:cs="Palatino Linotype"/>
                <w:color w:val="000000"/>
                <w:sz w:val="20"/>
                <w:szCs w:val="20"/>
                <w:lang w:val="en-US"/>
              </w:rPr>
              <w:t>.</w:t>
            </w:r>
            <w:r w:rsidRPr="00927D2C">
              <w:rPr>
                <w:rFonts w:ascii="Palatino Linotype" w:eastAsia="Palatino Linotype" w:hAnsi="Palatino Linotype" w:cs="Palatino Linotype"/>
                <w:color w:val="000000"/>
                <w:sz w:val="20"/>
                <w:szCs w:val="20"/>
                <w:lang w:val="en-US"/>
              </w:rPr>
              <w:t>42</w:t>
            </w:r>
          </w:p>
        </w:tc>
        <w:tc>
          <w:tcPr>
            <w:tcW w:w="11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18.936</w:t>
            </w:r>
          </w:p>
        </w:tc>
        <w:tc>
          <w:tcPr>
            <w:tcW w:w="1563"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0.721</w:t>
            </w:r>
          </w:p>
        </w:tc>
        <w:tc>
          <w:tcPr>
            <w:tcW w:w="1555" w:type="dxa"/>
            <w:tcBorders>
              <w:top w:val="nil"/>
              <w:left w:val="nil"/>
              <w:bottom w:val="single" w:sz="4" w:space="0" w:color="000000"/>
              <w:right w:val="single" w:sz="4" w:space="0" w:color="000000"/>
            </w:tcBorders>
            <w:shd w:val="clear" w:color="auto" w:fill="auto"/>
          </w:tcPr>
          <w:p w:rsidR="001F1AB3" w:rsidRPr="00927D2C"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19.657</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color w:val="000000"/>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S19-2</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23.47</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18.133</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0.241</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18.374</w:t>
            </w:r>
          </w:p>
        </w:tc>
      </w:tr>
      <w:tr w:rsidR="001F1AB3" w:rsidRPr="00927D2C" w:rsidTr="003E00F4">
        <w:trPr>
          <w:trHeight w:val="300"/>
        </w:trPr>
        <w:tc>
          <w:tcPr>
            <w:tcW w:w="1518"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964" w:type="dxa"/>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S19-3</w:t>
            </w:r>
          </w:p>
        </w:tc>
        <w:tc>
          <w:tcPr>
            <w:tcW w:w="1107" w:type="dxa"/>
            <w:tcBorders>
              <w:top w:val="nil"/>
              <w:left w:val="single" w:sz="4" w:space="0" w:color="000000"/>
              <w:bottom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18.08</w:t>
            </w:r>
          </w:p>
        </w:tc>
        <w:tc>
          <w:tcPr>
            <w:tcW w:w="966" w:type="dxa"/>
            <w:vMerge/>
            <w:tcBorders>
              <w:top w:val="nil"/>
              <w:left w:val="single" w:sz="4" w:space="0" w:color="000000"/>
              <w:bottom w:val="single" w:sz="4" w:space="0" w:color="000000"/>
              <w:right w:val="single" w:sz="4" w:space="0" w:color="000000"/>
            </w:tcBorders>
            <w:shd w:val="clear" w:color="auto" w:fill="auto"/>
            <w:vAlign w:val="center"/>
          </w:tcPr>
          <w:p w:rsidR="001F1AB3" w:rsidRPr="00927D2C" w:rsidRDefault="001F1AB3" w:rsidP="001F1AB3">
            <w:pPr>
              <w:widowControl w:val="0"/>
              <w:pBdr>
                <w:top w:val="nil"/>
                <w:left w:val="nil"/>
                <w:bottom w:val="nil"/>
                <w:right w:val="nil"/>
                <w:between w:val="nil"/>
              </w:pBdr>
              <w:spacing w:after="0" w:line="276" w:lineRule="auto"/>
              <w:rPr>
                <w:rFonts w:ascii="Palatino Linotype" w:eastAsia="Palatino Linotype" w:hAnsi="Palatino Linotype" w:cs="Palatino Linotype"/>
                <w:sz w:val="20"/>
                <w:szCs w:val="20"/>
                <w:lang w:val="en-US"/>
              </w:rPr>
            </w:pPr>
          </w:p>
        </w:tc>
        <w:tc>
          <w:tcPr>
            <w:tcW w:w="11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13.968</w:t>
            </w:r>
          </w:p>
        </w:tc>
        <w:tc>
          <w:tcPr>
            <w:tcW w:w="1563"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0.360</w:t>
            </w:r>
          </w:p>
        </w:tc>
        <w:tc>
          <w:tcPr>
            <w:tcW w:w="1555" w:type="dxa"/>
            <w:tcBorders>
              <w:top w:val="nil"/>
              <w:left w:val="nil"/>
              <w:bottom w:val="single" w:sz="4" w:space="0" w:color="000000"/>
              <w:right w:val="single" w:sz="4" w:space="0" w:color="000000"/>
            </w:tcBorders>
            <w:shd w:val="clear" w:color="auto" w:fill="auto"/>
          </w:tcPr>
          <w:p w:rsidR="001F1AB3" w:rsidRPr="001F1AB3" w:rsidRDefault="001F1AB3" w:rsidP="001F1AB3">
            <w:pPr>
              <w:spacing w:after="0" w:line="240" w:lineRule="auto"/>
              <w:jc w:val="center"/>
              <w:rPr>
                <w:rFonts w:ascii="Palatino Linotype" w:eastAsia="Palatino Linotype" w:hAnsi="Palatino Linotype" w:cs="Palatino Linotype"/>
                <w:color w:val="000000"/>
                <w:sz w:val="20"/>
                <w:szCs w:val="20"/>
                <w:lang w:val="en-US"/>
              </w:rPr>
            </w:pPr>
            <w:r w:rsidRPr="001F1AB3">
              <w:rPr>
                <w:rFonts w:ascii="Palatino Linotype" w:eastAsia="Palatino Linotype" w:hAnsi="Palatino Linotype" w:cs="Palatino Linotype"/>
                <w:color w:val="000000"/>
                <w:sz w:val="20"/>
                <w:szCs w:val="20"/>
                <w:lang w:val="en-US"/>
              </w:rPr>
              <w:t>14.328</w:t>
            </w:r>
          </w:p>
        </w:tc>
      </w:tr>
    </w:tbl>
    <w:p w:rsidR="00797A6E" w:rsidRPr="00927D2C" w:rsidRDefault="00797A6E">
      <w:pPr>
        <w:spacing w:after="0"/>
        <w:jc w:val="both"/>
        <w:rPr>
          <w:rFonts w:ascii="Palatino Linotype" w:eastAsia="Palatino Linotype" w:hAnsi="Palatino Linotype" w:cs="Palatino Linotype"/>
          <w:sz w:val="20"/>
          <w:szCs w:val="20"/>
          <w:lang w:val="en-US"/>
        </w:rPr>
      </w:pPr>
    </w:p>
    <w:p w:rsidR="00797A6E" w:rsidRPr="00927D2C" w:rsidRDefault="00797A6E">
      <w:pPr>
        <w:spacing w:after="0"/>
        <w:ind w:firstLine="284"/>
        <w:jc w:val="both"/>
        <w:rPr>
          <w:rFonts w:ascii="Palatino Linotype" w:eastAsia="Palatino Linotype" w:hAnsi="Palatino Linotype" w:cs="Palatino Linotype"/>
          <w:sz w:val="20"/>
          <w:szCs w:val="20"/>
          <w:lang w:val="en-US"/>
        </w:rPr>
      </w:pP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In this case, it was possible to observe that mean values ​​of total sediment discharge varied between </w:t>
      </w:r>
      <w:proofErr w:type="gramStart"/>
      <w:r w:rsidRPr="00927D2C">
        <w:rPr>
          <w:rFonts w:ascii="Palatino Linotype" w:eastAsia="Palatino Linotype" w:hAnsi="Palatino Linotype" w:cs="Palatino Linotype"/>
          <w:sz w:val="20"/>
          <w:szCs w:val="20"/>
          <w:lang w:val="en-US"/>
        </w:rPr>
        <w:t>17.45 t.day-1 (Section 19)</w:t>
      </w:r>
      <w:proofErr w:type="gramEnd"/>
      <w:r w:rsidRPr="00927D2C">
        <w:rPr>
          <w:rFonts w:ascii="Palatino Linotype" w:eastAsia="Palatino Linotype" w:hAnsi="Palatino Linotype" w:cs="Palatino Linotype"/>
          <w:sz w:val="20"/>
          <w:szCs w:val="20"/>
          <w:lang w:val="en-US"/>
        </w:rPr>
        <w:t xml:space="preserve"> and 50.97 t.day-1 (Section 12). The values ​​of Qst presented in Table 5 are significantly lower than the data obtained in survey 1, precisely because of water discharge and lower suspended sediment concentrations. Besides, this characteristic was expected due to survey 2 being associated to the dry season of the hydrological year.</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lastRenderedPageBreak/>
        <w:t xml:space="preserve">It should be noted that the highs Qst obtained mainly in section 16 are related to the biggest measured water discharges. It is believed that this increase in water discharge is related to the difficulties in the measurements of the hydraulic characteristics of the section with the ADCP, since the wind speed made it difficult to obtain data. Despite this, the estimates of total sediment discharge by the simplified procedure by Colby (1957) obtained with the NH Statistic and Sediment Computational Tool </w:t>
      </w:r>
      <w:proofErr w:type="gramStart"/>
      <w:r w:rsidRPr="00927D2C">
        <w:rPr>
          <w:rFonts w:ascii="Palatino Linotype" w:eastAsia="Palatino Linotype" w:hAnsi="Palatino Linotype" w:cs="Palatino Linotype"/>
          <w:sz w:val="20"/>
          <w:szCs w:val="20"/>
          <w:lang w:val="en-US"/>
        </w:rPr>
        <w:t>are</w:t>
      </w:r>
      <w:proofErr w:type="gramEnd"/>
      <w:r w:rsidRPr="00927D2C">
        <w:rPr>
          <w:rFonts w:ascii="Palatino Linotype" w:eastAsia="Palatino Linotype" w:hAnsi="Palatino Linotype" w:cs="Palatino Linotype"/>
          <w:sz w:val="20"/>
          <w:szCs w:val="20"/>
          <w:lang w:val="en-US"/>
        </w:rPr>
        <w:t xml:space="preserve"> consistent between the two surveys.</w:t>
      </w:r>
    </w:p>
    <w:p w:rsidR="00797A6E" w:rsidRPr="00927D2C" w:rsidRDefault="000D7BD9">
      <w:pPr>
        <w:pBdr>
          <w:top w:val="nil"/>
          <w:left w:val="nil"/>
          <w:bottom w:val="nil"/>
          <w:right w:val="nil"/>
          <w:between w:val="nil"/>
        </w:pBdr>
        <w:spacing w:before="360" w:after="200" w:line="240" w:lineRule="auto"/>
        <w:jc w:val="both"/>
        <w:rPr>
          <w:rFonts w:ascii="Palatino Linotype" w:eastAsia="Palatino Linotype" w:hAnsi="Palatino Linotype" w:cs="Palatino Linotype"/>
          <w:b/>
          <w:color w:val="000000"/>
          <w:lang w:val="en-US"/>
        </w:rPr>
      </w:pPr>
      <w:r w:rsidRPr="00927D2C">
        <w:rPr>
          <w:rFonts w:ascii="Palatino Linotype" w:eastAsia="Palatino Linotype" w:hAnsi="Palatino Linotype" w:cs="Palatino Linotype"/>
          <w:b/>
          <w:color w:val="000000"/>
          <w:lang w:val="en-US"/>
        </w:rPr>
        <w:t xml:space="preserve">3.2. Verification of the total </w:t>
      </w:r>
      <w:r w:rsidRPr="00927D2C">
        <w:rPr>
          <w:rFonts w:ascii="Palatino Linotype" w:eastAsia="Palatino Linotype" w:hAnsi="Palatino Linotype" w:cs="Palatino Linotype"/>
          <w:b/>
          <w:lang w:val="en-US"/>
        </w:rPr>
        <w:t xml:space="preserve">sediment </w:t>
      </w:r>
      <w:r w:rsidRPr="00927D2C">
        <w:rPr>
          <w:rFonts w:ascii="Palatino Linotype" w:eastAsia="Palatino Linotype" w:hAnsi="Palatino Linotype" w:cs="Palatino Linotype"/>
          <w:b/>
          <w:color w:val="000000"/>
          <w:lang w:val="en-US"/>
        </w:rPr>
        <w:t>discharge results obtained in the computational tool - NH Statistic and Sediment</w:t>
      </w:r>
    </w:p>
    <w:p w:rsidR="00797A6E" w:rsidRPr="00927D2C" w:rsidRDefault="000D7BD9">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 xml:space="preserve">For the comparison of the total sediment discharge results obtained by the NH Statistic and Sediment computational tool, they were compared with two other computational tools: WinTSR (ROSA; BERLING, 2002) and NH Sediment (MIRANDA, 2015). The results obtained from the simulations </w:t>
      </w:r>
      <w:proofErr w:type="gramStart"/>
      <w:r w:rsidRPr="00927D2C">
        <w:rPr>
          <w:rFonts w:ascii="Palatino Linotype" w:eastAsia="Palatino Linotype" w:hAnsi="Palatino Linotype" w:cs="Palatino Linotype"/>
          <w:sz w:val="20"/>
          <w:szCs w:val="20"/>
          <w:lang w:val="en-US"/>
        </w:rPr>
        <w:t>in these two software (WinTSR and NH Sediment)</w:t>
      </w:r>
      <w:proofErr w:type="gramEnd"/>
      <w:r w:rsidRPr="00927D2C">
        <w:rPr>
          <w:rFonts w:ascii="Palatino Linotype" w:eastAsia="Palatino Linotype" w:hAnsi="Palatino Linotype" w:cs="Palatino Linotype"/>
          <w:sz w:val="20"/>
          <w:szCs w:val="20"/>
          <w:lang w:val="en-US"/>
        </w:rPr>
        <w:t xml:space="preserve"> as well as the comparison with the NH Statistic and Sediment (NHSS) data are presented in Tables 6 to 9.</w:t>
      </w:r>
    </w:p>
    <w:p w:rsidR="00797A6E" w:rsidRPr="00927D2C" w:rsidRDefault="000D7BD9">
      <w:pPr>
        <w:pBdr>
          <w:top w:val="nil"/>
          <w:left w:val="nil"/>
          <w:bottom w:val="nil"/>
          <w:right w:val="nil"/>
          <w:between w:val="nil"/>
        </w:pBdr>
        <w:spacing w:before="240" w:after="24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Table 6 - Comparison between the total sediment discharge values (Qst) obtained in the NHSS computational tool and WinTSR software (Survey 1)</w:t>
      </w:r>
    </w:p>
    <w:tbl>
      <w:tblPr>
        <w:tblStyle w:val="a4"/>
        <w:tblW w:w="8828" w:type="dxa"/>
        <w:tblInd w:w="0" w:type="dxa"/>
        <w:tblLayout w:type="fixed"/>
        <w:tblLook w:val="0400"/>
      </w:tblPr>
      <w:tblGrid>
        <w:gridCol w:w="1104"/>
        <w:gridCol w:w="1382"/>
        <w:gridCol w:w="1794"/>
        <w:gridCol w:w="2274"/>
        <w:gridCol w:w="2274"/>
      </w:tblGrid>
      <w:tr w:rsidR="00797A6E" w:rsidRPr="00927D2C">
        <w:trPr>
          <w:trHeight w:val="20"/>
        </w:trPr>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WinTSR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Difference between Qst (WinTSR and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 xml:space="preserve">Difference between Qst (WinTSR and NHSS) </w:t>
            </w:r>
          </w:p>
          <w:p w:rsidR="00797A6E" w:rsidRPr="00927D2C" w:rsidRDefault="000D7BD9">
            <w:pPr>
              <w:spacing w:after="0" w:line="240" w:lineRule="auto"/>
              <w:jc w:val="both"/>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w:t>
            </w:r>
          </w:p>
        </w:tc>
      </w:tr>
      <w:tr w:rsidR="00FD35C0" w:rsidRPr="00927D2C" w:rsidTr="003E00F4">
        <w:trPr>
          <w:trHeight w:val="20"/>
        </w:trPr>
        <w:tc>
          <w:tcPr>
            <w:tcW w:w="1104" w:type="dxa"/>
            <w:tcBorders>
              <w:top w:val="single" w:sz="4" w:space="0" w:color="000000"/>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126.801</w:t>
            </w:r>
          </w:p>
        </w:tc>
        <w:tc>
          <w:tcPr>
            <w:tcW w:w="179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126.467</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-0.335</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-0.26%</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114.049</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113.768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-0.281</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-0.25%</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113.000</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112.731</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-0.270</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-0.24%</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116.872</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116.556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-0.315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-0.27%</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107.421</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106.979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-0.442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-0.41%</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108.364</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107.961</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-0.404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-0.37%</w:t>
            </w:r>
          </w:p>
        </w:tc>
      </w:tr>
      <w:tr w:rsidR="00FD35C0" w:rsidRPr="00927D2C" w:rsidTr="003E00F4">
        <w:trPr>
          <w:trHeight w:val="20"/>
        </w:trPr>
        <w:tc>
          <w:tcPr>
            <w:tcW w:w="1104" w:type="dxa"/>
            <w:tcBorders>
              <w:top w:val="single" w:sz="4" w:space="0" w:color="000000"/>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118.043</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117.580</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-0.464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-0.39%</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105.907</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105.538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-0.369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-0.35%</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88.215</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87.856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-0.359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-0.41%</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88.198</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87.934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-0.264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-0.30%</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92.031</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91.722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-0.309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-0.34%</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91.593</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91.216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-0.377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-0.41%</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87.000</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86.761</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-0.239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-0.28%</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71.647</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71.453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-0.194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-0.27%</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78.074</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77.864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-0.210</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-0.27%</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65.425</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65.239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-0.187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-0.29%</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47.514</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47.456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-0.058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47.575</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47.470</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-0.105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-0.22%</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43.658</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43.520</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-0.138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-0.32%</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38.168</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38.094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-0.074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-0.19%</w:t>
            </w:r>
          </w:p>
        </w:tc>
      </w:tr>
      <w:tr w:rsidR="00FD35C0" w:rsidRPr="00927D2C" w:rsidTr="003E00F4">
        <w:trPr>
          <w:trHeight w:val="2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S20-4</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39.935</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39.782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-0.153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-0.38%</w:t>
            </w:r>
          </w:p>
        </w:tc>
      </w:tr>
    </w:tbl>
    <w:p w:rsidR="00797A6E" w:rsidRDefault="00797A6E">
      <w:pPr>
        <w:spacing w:after="0"/>
        <w:jc w:val="both"/>
        <w:rPr>
          <w:rFonts w:ascii="Palatino Linotype" w:eastAsia="Palatino Linotype" w:hAnsi="Palatino Linotype" w:cs="Palatino Linotype"/>
          <w:sz w:val="20"/>
          <w:szCs w:val="20"/>
          <w:lang w:val="en-US"/>
        </w:rPr>
      </w:pPr>
    </w:p>
    <w:p w:rsidR="00643064" w:rsidRDefault="00643064">
      <w:pPr>
        <w:spacing w:after="0"/>
        <w:jc w:val="both"/>
        <w:rPr>
          <w:rFonts w:ascii="Palatino Linotype" w:eastAsia="Palatino Linotype" w:hAnsi="Palatino Linotype" w:cs="Palatino Linotype"/>
          <w:sz w:val="20"/>
          <w:szCs w:val="20"/>
          <w:lang w:val="en-US"/>
        </w:rPr>
      </w:pPr>
    </w:p>
    <w:p w:rsidR="00643064" w:rsidRDefault="00643064">
      <w:pPr>
        <w:spacing w:after="0"/>
        <w:jc w:val="both"/>
        <w:rPr>
          <w:rFonts w:ascii="Palatino Linotype" w:eastAsia="Palatino Linotype" w:hAnsi="Palatino Linotype" w:cs="Palatino Linotype"/>
          <w:sz w:val="20"/>
          <w:szCs w:val="20"/>
          <w:lang w:val="en-US"/>
        </w:rPr>
      </w:pPr>
    </w:p>
    <w:p w:rsidR="00643064" w:rsidRPr="00927D2C" w:rsidRDefault="00643064">
      <w:pPr>
        <w:spacing w:after="0"/>
        <w:jc w:val="both"/>
        <w:rPr>
          <w:rFonts w:ascii="Palatino Linotype" w:eastAsia="Palatino Linotype" w:hAnsi="Palatino Linotype" w:cs="Palatino Linotype"/>
          <w:sz w:val="20"/>
          <w:szCs w:val="20"/>
          <w:lang w:val="en-US"/>
        </w:rPr>
      </w:pPr>
    </w:p>
    <w:p w:rsidR="00797A6E" w:rsidRPr="00927D2C" w:rsidRDefault="000D7BD9">
      <w:pPr>
        <w:pBdr>
          <w:top w:val="nil"/>
          <w:left w:val="nil"/>
          <w:bottom w:val="nil"/>
          <w:right w:val="nil"/>
          <w:between w:val="nil"/>
        </w:pBdr>
        <w:spacing w:before="240" w:after="24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lastRenderedPageBreak/>
        <w:t>Table 7 - Comparison between the total sediment discharge values (Qst) obtained in the NHSS computational tool and NH Sediment computation tool (Survey 1)</w:t>
      </w:r>
    </w:p>
    <w:tbl>
      <w:tblPr>
        <w:tblStyle w:val="a5"/>
        <w:tblW w:w="8828" w:type="dxa"/>
        <w:jc w:val="center"/>
        <w:tblInd w:w="0" w:type="dxa"/>
        <w:tblLayout w:type="fixed"/>
        <w:tblLook w:val="0400"/>
      </w:tblPr>
      <w:tblGrid>
        <w:gridCol w:w="1155"/>
        <w:gridCol w:w="1299"/>
        <w:gridCol w:w="1780"/>
        <w:gridCol w:w="2297"/>
        <w:gridCol w:w="2297"/>
      </w:tblGrid>
      <w:tr w:rsidR="00797A6E" w:rsidRPr="004A63EE">
        <w:trPr>
          <w:trHeight w:val="700"/>
          <w:jc w:val="center"/>
        </w:trPr>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w:t>
            </w:r>
          </w:p>
        </w:tc>
        <w:tc>
          <w:tcPr>
            <w:tcW w:w="1299" w:type="dxa"/>
            <w:tcBorders>
              <w:top w:val="single" w:sz="4" w:space="0" w:color="000000"/>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 xml:space="preserve">Qst - NH </w:t>
            </w:r>
            <w:r w:rsidRPr="00927D2C">
              <w:rPr>
                <w:rFonts w:ascii="Palatino Linotype" w:eastAsia="Palatino Linotype" w:hAnsi="Palatino Linotype" w:cs="Palatino Linotype"/>
                <w:b/>
                <w:i/>
                <w:sz w:val="20"/>
                <w:szCs w:val="20"/>
                <w:lang w:val="en-US"/>
              </w:rPr>
              <w:t>Sediment</w:t>
            </w:r>
            <w:r w:rsidRPr="00927D2C">
              <w:rPr>
                <w:rFonts w:ascii="Palatino Linotype" w:eastAsia="Palatino Linotype" w:hAnsi="Palatino Linotype" w:cs="Palatino Linotype"/>
                <w:b/>
                <w:sz w:val="20"/>
                <w:szCs w:val="20"/>
                <w:lang w:val="en-US"/>
              </w:rPr>
              <w:t xml:space="preserve">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97"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 xml:space="preserve">Difference between Qst (NH </w:t>
            </w:r>
            <w:r w:rsidRPr="00927D2C">
              <w:rPr>
                <w:rFonts w:ascii="Palatino Linotype" w:eastAsia="Palatino Linotype" w:hAnsi="Palatino Linotype" w:cs="Palatino Linotype"/>
                <w:b/>
                <w:i/>
                <w:sz w:val="20"/>
                <w:szCs w:val="20"/>
                <w:lang w:val="en-US"/>
              </w:rPr>
              <w:t>Sediment</w:t>
            </w:r>
            <w:r w:rsidRPr="00927D2C">
              <w:rPr>
                <w:rFonts w:ascii="Palatino Linotype" w:eastAsia="Palatino Linotype" w:hAnsi="Palatino Linotype" w:cs="Palatino Linotype"/>
                <w:b/>
                <w:sz w:val="20"/>
                <w:szCs w:val="20"/>
                <w:lang w:val="en-US"/>
              </w:rPr>
              <w:t xml:space="preserve"> e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97"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 xml:space="preserve">Difference between Qst (NH </w:t>
            </w:r>
            <w:r w:rsidRPr="00927D2C">
              <w:rPr>
                <w:rFonts w:ascii="Palatino Linotype" w:eastAsia="Palatino Linotype" w:hAnsi="Palatino Linotype" w:cs="Palatino Linotype"/>
                <w:b/>
                <w:i/>
                <w:sz w:val="20"/>
                <w:szCs w:val="20"/>
                <w:lang w:val="en-US"/>
              </w:rPr>
              <w:t>Sedimen</w:t>
            </w:r>
            <w:r w:rsidRPr="00927D2C">
              <w:rPr>
                <w:rFonts w:ascii="Palatino Linotype" w:eastAsia="Palatino Linotype" w:hAnsi="Palatino Linotype" w:cs="Palatino Linotype"/>
                <w:b/>
                <w:sz w:val="20"/>
                <w:szCs w:val="20"/>
                <w:lang w:val="en-US"/>
              </w:rPr>
              <w:t>t e NHSS) (%)</w:t>
            </w:r>
          </w:p>
        </w:tc>
      </w:tr>
      <w:tr w:rsidR="00FD35C0" w:rsidRPr="00927D2C" w:rsidTr="003E00F4">
        <w:trPr>
          <w:trHeight w:val="300"/>
          <w:jc w:val="center"/>
        </w:trPr>
        <w:tc>
          <w:tcPr>
            <w:tcW w:w="1155" w:type="dxa"/>
            <w:tcBorders>
              <w:top w:val="single" w:sz="4" w:space="0" w:color="000000"/>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126.801</w:t>
            </w:r>
          </w:p>
        </w:tc>
        <w:tc>
          <w:tcPr>
            <w:tcW w:w="1780"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127.580</w:t>
            </w:r>
          </w:p>
        </w:tc>
        <w:tc>
          <w:tcPr>
            <w:tcW w:w="2297"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0.779</w:t>
            </w:r>
          </w:p>
        </w:tc>
        <w:tc>
          <w:tcPr>
            <w:tcW w:w="2297"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0.61%</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114.049</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114.721</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0.672</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0.59%</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113.000</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113.654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0.654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0.58%</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116.872</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117.605</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0.734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0.62%</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107.421</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108.309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0.888</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0.82%</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108.364</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109.202</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0.838</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0.77%</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118.043</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118.976</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0.933</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0.78%</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105.907</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106.699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0.791</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0.74%</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88.215</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89.041</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0.825</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0.93%</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88.198</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88.842</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0.644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0.73%</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92.031</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92.760</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0.729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0.79%</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91.593</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92.294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0.701</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0.76%</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87.000</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87.636</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0.636</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0.73%</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71.647</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72.184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0.538</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0.74%</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78.074</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78.646</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0.572</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0.73%</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65.425</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65.951</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0.526</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0.80%</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47.514</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47.734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0.220</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0.46%</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S20-1</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47.575</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47.884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0.309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0.65%</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S20-2</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43.658</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44.047</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0.389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0.88%</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S20-3</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38.168</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38.403</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0.235</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0.61%</w:t>
            </w:r>
          </w:p>
        </w:tc>
      </w:tr>
      <w:tr w:rsidR="00FD35C0"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S20-4</w:t>
            </w:r>
          </w:p>
        </w:tc>
        <w:tc>
          <w:tcPr>
            <w:tcW w:w="1299"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39.935</w:t>
            </w:r>
          </w:p>
        </w:tc>
        <w:tc>
          <w:tcPr>
            <w:tcW w:w="1780"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40.369</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0.434</w:t>
            </w:r>
          </w:p>
        </w:tc>
        <w:tc>
          <w:tcPr>
            <w:tcW w:w="2297"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1.08%</w:t>
            </w:r>
          </w:p>
        </w:tc>
      </w:tr>
    </w:tbl>
    <w:p w:rsidR="00797A6E" w:rsidRPr="00927D2C" w:rsidRDefault="00797A6E">
      <w:pPr>
        <w:spacing w:after="0"/>
        <w:jc w:val="both"/>
        <w:rPr>
          <w:rFonts w:ascii="Palatino Linotype" w:eastAsia="Palatino Linotype" w:hAnsi="Palatino Linotype" w:cs="Palatino Linotype"/>
          <w:sz w:val="20"/>
          <w:szCs w:val="20"/>
          <w:lang w:val="en-US"/>
        </w:rPr>
      </w:pPr>
    </w:p>
    <w:p w:rsidR="00797A6E" w:rsidRDefault="000D7BD9" w:rsidP="00FD35C0">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Comparing the Qst values ​​obtained by the developed computational tool and the WinTSR it was possible to observe a low percentage difference between the applications, with an average of -0.30%. In relation to NH Sediment, the average percentage difference was 0.73% for the first survey. Despite the greater difference between the tools NH Statistic and Sediment and NH Sediment, in both cases this difference is minimal and does not mitigate future sediment transport studies in the region and shows the accuracy of the developed tool.</w:t>
      </w:r>
    </w:p>
    <w:p w:rsidR="00FD35C0" w:rsidRPr="00927D2C" w:rsidRDefault="00FD35C0" w:rsidP="00FD35C0">
      <w:pPr>
        <w:spacing w:after="0"/>
        <w:ind w:firstLine="284"/>
        <w:jc w:val="both"/>
        <w:rPr>
          <w:rFonts w:ascii="Palatino Linotype" w:eastAsia="Palatino Linotype" w:hAnsi="Palatino Linotype" w:cs="Palatino Linotype"/>
          <w:sz w:val="20"/>
          <w:szCs w:val="20"/>
          <w:shd w:val="clear" w:color="auto" w:fill="D5A6BE"/>
          <w:lang w:val="en-US"/>
        </w:rPr>
      </w:pPr>
    </w:p>
    <w:p w:rsidR="00B7793A" w:rsidRDefault="00B7793A">
      <w:pPr>
        <w:rPr>
          <w:rFonts w:ascii="Palatino Linotype" w:eastAsia="Palatino Linotype" w:hAnsi="Palatino Linotype" w:cs="Palatino Linotype"/>
          <w:sz w:val="20"/>
          <w:szCs w:val="20"/>
          <w:lang w:val="en-US"/>
        </w:rPr>
      </w:pPr>
      <w:r>
        <w:rPr>
          <w:rFonts w:ascii="Palatino Linotype" w:eastAsia="Palatino Linotype" w:hAnsi="Palatino Linotype" w:cs="Palatino Linotype"/>
          <w:sz w:val="20"/>
          <w:szCs w:val="20"/>
          <w:lang w:val="en-US"/>
        </w:rPr>
        <w:br w:type="page"/>
      </w:r>
    </w:p>
    <w:p w:rsidR="00797A6E" w:rsidRPr="00927D2C" w:rsidRDefault="000D7BD9">
      <w:pPr>
        <w:spacing w:before="240" w:after="240" w:line="240" w:lineRule="auto"/>
        <w:jc w:val="center"/>
        <w:rPr>
          <w:rFonts w:ascii="Palatino Linotype" w:eastAsia="Palatino Linotype" w:hAnsi="Palatino Linotype" w:cs="Palatino Linotype"/>
          <w:color w:val="000000"/>
          <w:sz w:val="20"/>
          <w:szCs w:val="20"/>
          <w:shd w:val="clear" w:color="auto" w:fill="D5A6BE"/>
          <w:lang w:val="en-US"/>
        </w:rPr>
      </w:pPr>
      <w:r w:rsidRPr="00927D2C">
        <w:rPr>
          <w:rFonts w:ascii="Palatino Linotype" w:eastAsia="Palatino Linotype" w:hAnsi="Palatino Linotype" w:cs="Palatino Linotype"/>
          <w:sz w:val="20"/>
          <w:szCs w:val="20"/>
          <w:lang w:val="en-US"/>
        </w:rPr>
        <w:lastRenderedPageBreak/>
        <w:t>Table 8 - Comparison between the total sediment discharge values (Qst) obtained in the NHSS computational tool and WinTSR software (Survey 2)</w:t>
      </w:r>
    </w:p>
    <w:tbl>
      <w:tblPr>
        <w:tblStyle w:val="a6"/>
        <w:tblW w:w="8828" w:type="dxa"/>
        <w:tblInd w:w="0" w:type="dxa"/>
        <w:tblLayout w:type="fixed"/>
        <w:tblLook w:val="0400"/>
      </w:tblPr>
      <w:tblGrid>
        <w:gridCol w:w="1104"/>
        <w:gridCol w:w="1382"/>
        <w:gridCol w:w="1794"/>
        <w:gridCol w:w="2274"/>
        <w:gridCol w:w="2274"/>
      </w:tblGrid>
      <w:tr w:rsidR="00797A6E" w:rsidRPr="00927D2C">
        <w:trPr>
          <w:trHeight w:val="700"/>
        </w:trPr>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Section</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WinTSR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Difference between Qst (WinTSR and NHSS) (t.day</w:t>
            </w:r>
            <w:r w:rsidRPr="00927D2C">
              <w:rPr>
                <w:rFonts w:ascii="Palatino Linotype" w:eastAsia="Palatino Linotype" w:hAnsi="Palatino Linotype" w:cs="Palatino Linotype"/>
                <w:b/>
                <w:sz w:val="20"/>
                <w:szCs w:val="20"/>
                <w:vertAlign w:val="superscript"/>
                <w:lang w:val="en-US"/>
              </w:rPr>
              <w:t>-1</w:t>
            </w:r>
            <w:r w:rsidRPr="00927D2C">
              <w:rPr>
                <w:rFonts w:ascii="Palatino Linotype" w:eastAsia="Palatino Linotype" w:hAnsi="Palatino Linotype" w:cs="Palatino Linotype"/>
                <w:b/>
                <w:sz w:val="20"/>
                <w:szCs w:val="20"/>
                <w:lang w:val="en-US"/>
              </w:rPr>
              <w:t>)</w:t>
            </w: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Difference between Qst (WinTSR and NHSS)</w:t>
            </w:r>
          </w:p>
          <w:p w:rsidR="00797A6E" w:rsidRPr="00927D2C" w:rsidRDefault="000D7BD9">
            <w:pPr>
              <w:spacing w:after="0" w:line="240" w:lineRule="auto"/>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w:t>
            </w:r>
          </w:p>
        </w:tc>
      </w:tr>
      <w:tr w:rsidR="00FD35C0" w:rsidRPr="00927D2C" w:rsidTr="003E00F4">
        <w:trPr>
          <w:trHeight w:val="300"/>
        </w:trPr>
        <w:tc>
          <w:tcPr>
            <w:tcW w:w="1104" w:type="dxa"/>
            <w:tcBorders>
              <w:top w:val="single" w:sz="4" w:space="0" w:color="000000"/>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S1-1</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37.725</w:t>
            </w:r>
          </w:p>
        </w:tc>
        <w:tc>
          <w:tcPr>
            <w:tcW w:w="179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37.596</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-0.129</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-0.34%</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30.280</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30.156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-0.41%</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36.690</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36.555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-0.135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-0.37%</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27.895</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27.787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-0.107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-0.39%</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27.136</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27.027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-0.109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-0.40%</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S6-3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27.233</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27.109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-0.46%</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26.409</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26.287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-0.46%</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26.302</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26.183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-0.119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-0.45%</w:t>
            </w:r>
          </w:p>
        </w:tc>
      </w:tr>
      <w:tr w:rsidR="00FD35C0" w:rsidRPr="00927D2C" w:rsidTr="003E00F4">
        <w:trPr>
          <w:trHeight w:val="300"/>
        </w:trPr>
        <w:tc>
          <w:tcPr>
            <w:tcW w:w="1104" w:type="dxa"/>
            <w:tcBorders>
              <w:top w:val="single" w:sz="4" w:space="0" w:color="000000"/>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S8-3</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31.105</w:t>
            </w:r>
          </w:p>
        </w:tc>
        <w:tc>
          <w:tcPr>
            <w:tcW w:w="179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30.952</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-0.153</w:t>
            </w:r>
          </w:p>
        </w:tc>
        <w:tc>
          <w:tcPr>
            <w:tcW w:w="2274" w:type="dxa"/>
            <w:tcBorders>
              <w:top w:val="single" w:sz="4" w:space="0" w:color="000000"/>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-0.49%</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52.333</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52.146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-0.187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-0.36%</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48.170</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48.044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-0.126</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-0.26%</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S12-3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52.398</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52.229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-0.169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-0.32%</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52.556</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52.593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0.037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0.07%</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46.091</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46.138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0.047</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0.10%</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S16-3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53.619</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53.653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0.034</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0.06%</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S19-1</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19.657</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19.578</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-0.079</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-0.41%</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S19-2</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18.374</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18.342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-0.032</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-0.17%</w:t>
            </w:r>
          </w:p>
        </w:tc>
      </w:tr>
      <w:tr w:rsidR="00FD35C0" w:rsidRPr="00927D2C" w:rsidTr="003E00F4">
        <w:trPr>
          <w:trHeight w:val="300"/>
        </w:trPr>
        <w:tc>
          <w:tcPr>
            <w:tcW w:w="1104" w:type="dxa"/>
            <w:tcBorders>
              <w:top w:val="nil"/>
              <w:left w:val="single" w:sz="4" w:space="0" w:color="000000"/>
              <w:bottom w:val="single" w:sz="4" w:space="0" w:color="000000"/>
            </w:tcBorders>
            <w:shd w:val="clear" w:color="auto" w:fill="auto"/>
            <w:vAlign w:val="center"/>
          </w:tcPr>
          <w:p w:rsidR="00FD35C0" w:rsidRPr="00927D2C" w:rsidRDefault="00FD35C0" w:rsidP="00FD35C0">
            <w:pPr>
              <w:spacing w:after="0" w:line="240" w:lineRule="auto"/>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S19-3</w:t>
            </w:r>
          </w:p>
        </w:tc>
        <w:tc>
          <w:tcPr>
            <w:tcW w:w="1382" w:type="dxa"/>
            <w:tcBorders>
              <w:top w:val="nil"/>
              <w:left w:val="single" w:sz="4" w:space="0" w:color="000000"/>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14.328</w:t>
            </w:r>
          </w:p>
        </w:tc>
        <w:tc>
          <w:tcPr>
            <w:tcW w:w="179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14.285</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-0.043</w:t>
            </w:r>
          </w:p>
        </w:tc>
        <w:tc>
          <w:tcPr>
            <w:tcW w:w="2274" w:type="dxa"/>
            <w:tcBorders>
              <w:top w:val="nil"/>
              <w:left w:val="nil"/>
              <w:bottom w:val="single" w:sz="4" w:space="0" w:color="000000"/>
              <w:right w:val="single" w:sz="4" w:space="0" w:color="000000"/>
            </w:tcBorders>
            <w:shd w:val="clear" w:color="auto" w:fill="auto"/>
          </w:tcPr>
          <w:p w:rsidR="00FD35C0" w:rsidRPr="00927D2C" w:rsidRDefault="00FD35C0" w:rsidP="00FD35C0">
            <w:pPr>
              <w:spacing w:after="0" w:line="240" w:lineRule="auto"/>
              <w:jc w:val="center"/>
              <w:rPr>
                <w:rFonts w:ascii="Palatino Linotype" w:eastAsia="Palatino Linotype" w:hAnsi="Palatino Linotype" w:cs="Palatino Linotype"/>
                <w:color w:val="000000"/>
                <w:sz w:val="20"/>
                <w:szCs w:val="20"/>
                <w:lang w:val="en-US"/>
              </w:rPr>
            </w:pPr>
            <w:r w:rsidRPr="00FD35C0">
              <w:rPr>
                <w:rFonts w:ascii="Palatino Linotype" w:eastAsia="Palatino Linotype" w:hAnsi="Palatino Linotype" w:cs="Palatino Linotype"/>
                <w:color w:val="000000"/>
                <w:sz w:val="20"/>
                <w:szCs w:val="20"/>
                <w:lang w:val="en-US"/>
              </w:rPr>
              <w:t>-0.30%</w:t>
            </w:r>
          </w:p>
        </w:tc>
      </w:tr>
    </w:tbl>
    <w:p w:rsidR="00797A6E" w:rsidRPr="00927D2C" w:rsidRDefault="00797A6E">
      <w:pPr>
        <w:spacing w:after="0"/>
        <w:jc w:val="both"/>
        <w:rPr>
          <w:rFonts w:ascii="Palatino Linotype" w:eastAsia="Palatino Linotype" w:hAnsi="Palatino Linotype" w:cs="Palatino Linotype"/>
          <w:sz w:val="20"/>
          <w:szCs w:val="20"/>
          <w:lang w:val="en-US"/>
        </w:rPr>
      </w:pPr>
    </w:p>
    <w:p w:rsidR="00B7793A" w:rsidRPr="00927D2C" w:rsidRDefault="00B7793A" w:rsidP="00B7793A">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Analyzing the data from survey 2, it was observed that, as in survey 1, the Qst differences between the software were minimal, with mean values ​​of -0.30% and 0.89%, respectively, in relation to WinTSR and NH Sediment.</w:t>
      </w:r>
    </w:p>
    <w:p w:rsidR="00B7793A" w:rsidRPr="00927D2C" w:rsidRDefault="00B7793A" w:rsidP="00B7793A">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Table 10 presents the comparisons of the sediment discharge involving the two surveys in ascending order regarding the Qst obtained in the developed computational tool. In addition, WinTSR was adopted as standard comparison software due to its wide use in studies such as Scapin, Paiva and Beling (2007), Santos et al. (2012), Miranda (2015).</w:t>
      </w:r>
    </w:p>
    <w:p w:rsidR="00B7793A" w:rsidRDefault="00B7793A">
      <w:pPr>
        <w:rPr>
          <w:rFonts w:ascii="Palatino Linotype" w:eastAsia="Palatino Linotype" w:hAnsi="Palatino Linotype" w:cs="Palatino Linotype"/>
          <w:sz w:val="20"/>
          <w:szCs w:val="20"/>
          <w:lang w:val="en-US"/>
        </w:rPr>
      </w:pPr>
      <w:r>
        <w:rPr>
          <w:rFonts w:ascii="Palatino Linotype" w:eastAsia="Palatino Linotype" w:hAnsi="Palatino Linotype" w:cs="Palatino Linotype"/>
          <w:sz w:val="20"/>
          <w:szCs w:val="20"/>
          <w:lang w:val="en-US"/>
        </w:rPr>
        <w:br w:type="page"/>
      </w:r>
    </w:p>
    <w:p w:rsidR="00797A6E" w:rsidRPr="00927D2C" w:rsidRDefault="000D7BD9">
      <w:pPr>
        <w:spacing w:before="240" w:after="240" w:line="240" w:lineRule="auto"/>
        <w:jc w:val="center"/>
        <w:rPr>
          <w:rFonts w:ascii="Palatino Linotype" w:eastAsia="Palatino Linotype" w:hAnsi="Palatino Linotype" w:cs="Palatino Linotype"/>
          <w:color w:val="000000"/>
          <w:sz w:val="20"/>
          <w:szCs w:val="20"/>
          <w:shd w:val="clear" w:color="auto" w:fill="D5A6BE"/>
          <w:lang w:val="en-US"/>
        </w:rPr>
      </w:pPr>
      <w:r w:rsidRPr="00927D2C">
        <w:rPr>
          <w:rFonts w:ascii="Palatino Linotype" w:eastAsia="Palatino Linotype" w:hAnsi="Palatino Linotype" w:cs="Palatino Linotype"/>
          <w:sz w:val="20"/>
          <w:szCs w:val="20"/>
          <w:lang w:val="en-US"/>
        </w:rPr>
        <w:lastRenderedPageBreak/>
        <w:t>Table 9 - Comparison between the total sediment discharge values (Qst) obtained in the NHSS computational tool and NH Sediment computation tool (Survey 2)</w:t>
      </w:r>
    </w:p>
    <w:tbl>
      <w:tblPr>
        <w:tblStyle w:val="a7"/>
        <w:tblW w:w="8833" w:type="dxa"/>
        <w:jc w:val="center"/>
        <w:tblInd w:w="0" w:type="dxa"/>
        <w:tblLayout w:type="fixed"/>
        <w:tblLook w:val="0400"/>
      </w:tblPr>
      <w:tblGrid>
        <w:gridCol w:w="1155"/>
        <w:gridCol w:w="1301"/>
        <w:gridCol w:w="1781"/>
        <w:gridCol w:w="2298"/>
        <w:gridCol w:w="2298"/>
      </w:tblGrid>
      <w:tr w:rsidR="00797A6E" w:rsidRPr="004A63EE">
        <w:trPr>
          <w:trHeight w:val="700"/>
          <w:jc w:val="center"/>
        </w:trPr>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Section</w:t>
            </w:r>
          </w:p>
        </w:tc>
        <w:tc>
          <w:tcPr>
            <w:tcW w:w="1301" w:type="dxa"/>
            <w:tcBorders>
              <w:top w:val="single" w:sz="4" w:space="0" w:color="000000"/>
              <w:left w:val="single" w:sz="4" w:space="0" w:color="000000"/>
              <w:bottom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Qst - NHSS (t.day</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Qst - NH Sediment (t.day</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2298"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 xml:space="preserve">Difference between Qst (NH Sediment </w:t>
            </w:r>
            <w:r w:rsidRPr="00927D2C">
              <w:rPr>
                <w:rFonts w:ascii="Palatino Linotype" w:eastAsia="Palatino Linotype" w:hAnsi="Palatino Linotype" w:cs="Palatino Linotype"/>
                <w:b/>
                <w:sz w:val="20"/>
                <w:szCs w:val="20"/>
                <w:lang w:val="en-US"/>
              </w:rPr>
              <w:t>and</w:t>
            </w:r>
            <w:r w:rsidRPr="00927D2C">
              <w:rPr>
                <w:rFonts w:ascii="Palatino Linotype" w:eastAsia="Palatino Linotype" w:hAnsi="Palatino Linotype" w:cs="Palatino Linotype"/>
                <w:b/>
                <w:color w:val="000000"/>
                <w:sz w:val="20"/>
                <w:szCs w:val="20"/>
                <w:lang w:val="en-US"/>
              </w:rPr>
              <w:t xml:space="preserve"> NHSS) (t.day</w:t>
            </w:r>
            <w:r w:rsidRPr="00927D2C">
              <w:rPr>
                <w:rFonts w:ascii="Palatino Linotype" w:eastAsia="Palatino Linotype" w:hAnsi="Palatino Linotype" w:cs="Palatino Linotype"/>
                <w:b/>
                <w:color w:val="000000"/>
                <w:sz w:val="20"/>
                <w:szCs w:val="20"/>
                <w:vertAlign w:val="superscript"/>
                <w:lang w:val="en-US"/>
              </w:rPr>
              <w:t>-1</w:t>
            </w:r>
            <w:r w:rsidRPr="00927D2C">
              <w:rPr>
                <w:rFonts w:ascii="Palatino Linotype" w:eastAsia="Palatino Linotype" w:hAnsi="Palatino Linotype" w:cs="Palatino Linotype"/>
                <w:b/>
                <w:color w:val="000000"/>
                <w:sz w:val="20"/>
                <w:szCs w:val="20"/>
                <w:lang w:val="en-US"/>
              </w:rPr>
              <w:t>)</w:t>
            </w:r>
          </w:p>
        </w:tc>
        <w:tc>
          <w:tcPr>
            <w:tcW w:w="2298" w:type="dxa"/>
            <w:tcBorders>
              <w:top w:val="single" w:sz="4" w:space="0" w:color="000000"/>
              <w:left w:val="nil"/>
              <w:bottom w:val="single" w:sz="4" w:space="0" w:color="000000"/>
              <w:right w:val="single" w:sz="4" w:space="0" w:color="000000"/>
            </w:tcBorders>
            <w:shd w:val="clear" w:color="auto" w:fill="auto"/>
            <w:vAlign w:val="center"/>
          </w:tcPr>
          <w:p w:rsidR="00797A6E" w:rsidRPr="00927D2C" w:rsidRDefault="000D7BD9">
            <w:pPr>
              <w:spacing w:after="0" w:line="240" w:lineRule="auto"/>
              <w:jc w:val="center"/>
              <w:rPr>
                <w:rFonts w:ascii="Palatino Linotype" w:eastAsia="Palatino Linotype" w:hAnsi="Palatino Linotype" w:cs="Palatino Linotype"/>
                <w:b/>
                <w:color w:val="000000"/>
                <w:sz w:val="20"/>
                <w:szCs w:val="20"/>
                <w:lang w:val="en-US"/>
              </w:rPr>
            </w:pPr>
            <w:r w:rsidRPr="00927D2C">
              <w:rPr>
                <w:rFonts w:ascii="Palatino Linotype" w:eastAsia="Palatino Linotype" w:hAnsi="Palatino Linotype" w:cs="Palatino Linotype"/>
                <w:b/>
                <w:color w:val="000000"/>
                <w:sz w:val="20"/>
                <w:szCs w:val="20"/>
                <w:lang w:val="en-US"/>
              </w:rPr>
              <w:t>Difference</w:t>
            </w:r>
            <w:r w:rsidRPr="00927D2C">
              <w:rPr>
                <w:rFonts w:ascii="Palatino Linotype" w:eastAsia="Palatino Linotype" w:hAnsi="Palatino Linotype" w:cs="Palatino Linotype"/>
                <w:b/>
                <w:sz w:val="20"/>
                <w:szCs w:val="20"/>
                <w:lang w:val="en-US"/>
              </w:rPr>
              <w:t xml:space="preserve"> between</w:t>
            </w:r>
            <w:r w:rsidRPr="00927D2C">
              <w:rPr>
                <w:rFonts w:ascii="Palatino Linotype" w:eastAsia="Palatino Linotype" w:hAnsi="Palatino Linotype" w:cs="Palatino Linotype"/>
                <w:b/>
                <w:color w:val="000000"/>
                <w:sz w:val="20"/>
                <w:szCs w:val="20"/>
                <w:lang w:val="en-US"/>
              </w:rPr>
              <w:t xml:space="preserve"> Qst (NH Sediment </w:t>
            </w:r>
            <w:r w:rsidRPr="00927D2C">
              <w:rPr>
                <w:rFonts w:ascii="Palatino Linotype" w:eastAsia="Palatino Linotype" w:hAnsi="Palatino Linotype" w:cs="Palatino Linotype"/>
                <w:b/>
                <w:sz w:val="20"/>
                <w:szCs w:val="20"/>
                <w:lang w:val="en-US"/>
              </w:rPr>
              <w:t>and</w:t>
            </w:r>
            <w:r w:rsidRPr="00927D2C">
              <w:rPr>
                <w:rFonts w:ascii="Palatino Linotype" w:eastAsia="Palatino Linotype" w:hAnsi="Palatino Linotype" w:cs="Palatino Linotype"/>
                <w:b/>
                <w:color w:val="000000"/>
                <w:sz w:val="20"/>
                <w:szCs w:val="20"/>
                <w:lang w:val="en-US"/>
              </w:rPr>
              <w:t xml:space="preserve"> NHSS) (%)</w:t>
            </w:r>
          </w:p>
        </w:tc>
      </w:tr>
      <w:tr w:rsidR="006D3BA2" w:rsidRPr="00927D2C" w:rsidTr="003E00F4">
        <w:trPr>
          <w:trHeight w:val="300"/>
          <w:jc w:val="center"/>
        </w:trPr>
        <w:tc>
          <w:tcPr>
            <w:tcW w:w="1155" w:type="dxa"/>
            <w:tcBorders>
              <w:top w:val="single" w:sz="4" w:space="0" w:color="000000"/>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S1-1</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37.725</w:t>
            </w:r>
          </w:p>
        </w:tc>
        <w:tc>
          <w:tcPr>
            <w:tcW w:w="1781" w:type="dxa"/>
            <w:tcBorders>
              <w:top w:val="single" w:sz="4" w:space="0" w:color="000000"/>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38.050</w:t>
            </w:r>
          </w:p>
        </w:tc>
        <w:tc>
          <w:tcPr>
            <w:tcW w:w="2298" w:type="dxa"/>
            <w:tcBorders>
              <w:top w:val="single" w:sz="4" w:space="0" w:color="000000"/>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0.325</w:t>
            </w:r>
          </w:p>
        </w:tc>
        <w:tc>
          <w:tcPr>
            <w:tcW w:w="2298" w:type="dxa"/>
            <w:tcBorders>
              <w:top w:val="single" w:sz="4" w:space="0" w:color="000000"/>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0.85%</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30.280</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30.599</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0.318</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1.04%</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36.690</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37.030</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0.340</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0.92%</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S6-1</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27.895</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28.164</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0.270</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0.96%</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S6-2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27.136</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27.401</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0.264</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0.96%</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S6-3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27.233</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27.540</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0.307</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1.11%</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S8-1</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26.409</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26.712</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0.303</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1.13%</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S8-2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26.302</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26.596</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0.295</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1.11%</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S8-3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31.105</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31.464</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0.359</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1.14%</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S12-1</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52.333</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52.841</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0.508</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0.96%</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S12-2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48.170</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48.524</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0.355</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0.73%</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S12-3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52.398</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52.867</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0.469</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0.89%</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S16-1</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52.556</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52.784</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0.228</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0.43%</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S16-2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46.091</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46.363</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0.273</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0.59%</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S16-3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53.619</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53.830</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0.211</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0.39%</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S19-1</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19.657</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19.898</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0.241</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1.21%</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S19-2</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18.374</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18.475</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0.101</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0.55%</w:t>
            </w:r>
          </w:p>
        </w:tc>
      </w:tr>
      <w:tr w:rsidR="006D3BA2" w:rsidRPr="00927D2C" w:rsidTr="003E00F4">
        <w:trPr>
          <w:trHeight w:val="300"/>
          <w:jc w:val="center"/>
        </w:trPr>
        <w:tc>
          <w:tcPr>
            <w:tcW w:w="1155" w:type="dxa"/>
            <w:tcBorders>
              <w:top w:val="nil"/>
              <w:left w:val="single" w:sz="4" w:space="0" w:color="000000"/>
              <w:bottom w:val="single" w:sz="4" w:space="0" w:color="000000"/>
            </w:tcBorders>
            <w:shd w:val="clear" w:color="auto" w:fill="auto"/>
            <w:vAlign w:val="center"/>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sz w:val="20"/>
                <w:szCs w:val="20"/>
                <w:lang w:val="en-US"/>
              </w:rPr>
              <w:t>S19-3</w:t>
            </w:r>
          </w:p>
        </w:tc>
        <w:tc>
          <w:tcPr>
            <w:tcW w:w="1301" w:type="dxa"/>
            <w:tcBorders>
              <w:top w:val="nil"/>
              <w:left w:val="single" w:sz="4" w:space="0" w:color="000000"/>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14.328</w:t>
            </w:r>
          </w:p>
        </w:tc>
        <w:tc>
          <w:tcPr>
            <w:tcW w:w="1781"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14.467</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0.139</w:t>
            </w:r>
          </w:p>
        </w:tc>
        <w:tc>
          <w:tcPr>
            <w:tcW w:w="2298" w:type="dxa"/>
            <w:tcBorders>
              <w:top w:val="nil"/>
              <w:left w:val="nil"/>
              <w:bottom w:val="single" w:sz="4" w:space="0" w:color="000000"/>
              <w:right w:val="single" w:sz="4" w:space="0" w:color="000000"/>
            </w:tcBorders>
            <w:shd w:val="clear" w:color="auto" w:fill="auto"/>
          </w:tcPr>
          <w:p w:rsidR="006D3BA2" w:rsidRPr="00927D2C" w:rsidRDefault="006D3BA2" w:rsidP="006D3BA2">
            <w:pPr>
              <w:spacing w:after="0" w:line="240" w:lineRule="auto"/>
              <w:jc w:val="center"/>
              <w:rPr>
                <w:rFonts w:ascii="Palatino Linotype" w:eastAsia="Palatino Linotype" w:hAnsi="Palatino Linotype" w:cs="Palatino Linotype"/>
                <w:color w:val="000000"/>
                <w:sz w:val="20"/>
                <w:szCs w:val="20"/>
                <w:lang w:val="en-US"/>
              </w:rPr>
            </w:pPr>
            <w:r w:rsidRPr="006D3BA2">
              <w:rPr>
                <w:rFonts w:ascii="Palatino Linotype" w:eastAsia="Palatino Linotype" w:hAnsi="Palatino Linotype" w:cs="Palatino Linotype"/>
                <w:color w:val="000000"/>
                <w:sz w:val="20"/>
                <w:szCs w:val="20"/>
                <w:lang w:val="en-US"/>
              </w:rPr>
              <w:t>0.96%</w:t>
            </w:r>
          </w:p>
        </w:tc>
      </w:tr>
    </w:tbl>
    <w:p w:rsidR="00797A6E" w:rsidRPr="00927D2C" w:rsidRDefault="00797A6E">
      <w:pPr>
        <w:spacing w:after="0"/>
        <w:jc w:val="both"/>
        <w:rPr>
          <w:rFonts w:ascii="Palatino Linotype" w:eastAsia="Palatino Linotype" w:hAnsi="Palatino Linotype" w:cs="Palatino Linotype"/>
          <w:sz w:val="20"/>
          <w:szCs w:val="20"/>
          <w:lang w:val="en-US"/>
        </w:rPr>
      </w:pPr>
    </w:p>
    <w:p w:rsidR="00B7793A" w:rsidRPr="00927D2C" w:rsidRDefault="00B7793A" w:rsidP="00B7793A">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Qst values were ​​ordered in relation to the WinTSR software but no percentage difference pattern was found. In other words, there are major and minor errors evenly distributed among the results. This indicates that the total sediment discharge results provided by the computational tool are consistent and valid.</w:t>
      </w:r>
    </w:p>
    <w:p w:rsidR="00B7793A" w:rsidRPr="00927D2C" w:rsidRDefault="00B7793A" w:rsidP="00B7793A">
      <w:pPr>
        <w:spacing w:after="0"/>
        <w:ind w:firstLine="284"/>
        <w:jc w:val="both"/>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Thus, it was possible to observe that the computational tool NH Statistic and Sediment presented values ​​of total sediment discharge compatible with the other software. Comparisons with WinTSR showed that the developed tool NHSS provided better results than the NH Sediment tool, since the maximum percentage difference between WinTSR and NHSS was -0.49% while between WinTSR and NH Sediment was -1.66%. Despite this, the results among all the software are satisfactory and meet the objective of estimating the total sediment discharge with maximum reliability.</w:t>
      </w:r>
    </w:p>
    <w:p w:rsidR="00B7793A" w:rsidRPr="00927D2C" w:rsidRDefault="00B7793A" w:rsidP="00B7793A">
      <w:pPr>
        <w:spacing w:after="0"/>
        <w:ind w:firstLine="284"/>
        <w:jc w:val="both"/>
        <w:rPr>
          <w:rFonts w:ascii="Palatino Linotype" w:eastAsia="Palatino Linotype" w:hAnsi="Palatino Linotype" w:cs="Palatino Linotype"/>
          <w:sz w:val="20"/>
          <w:szCs w:val="20"/>
          <w:lang w:val="en-US"/>
        </w:rPr>
      </w:pPr>
      <w:r>
        <w:rPr>
          <w:rFonts w:ascii="Palatino Linotype" w:eastAsia="Palatino Linotype" w:hAnsi="Palatino Linotype" w:cs="Palatino Linotype"/>
          <w:sz w:val="20"/>
          <w:szCs w:val="20"/>
          <w:lang w:val="en-US"/>
        </w:rPr>
        <w:t>O</w:t>
      </w:r>
      <w:r w:rsidRPr="00927D2C">
        <w:rPr>
          <w:rFonts w:ascii="Palatino Linotype" w:eastAsia="Palatino Linotype" w:hAnsi="Palatino Linotype" w:cs="Palatino Linotype"/>
          <w:sz w:val="20"/>
          <w:szCs w:val="20"/>
          <w:lang w:val="en-US"/>
        </w:rPr>
        <w:t xml:space="preserve">verall, the computational tool NH Statistic and Sediment allows the calculation of the Qst of several sections/locations in a single click, while in WinTSR this parameter is obtained from section to section. In addition, unlike WinTSR and NH Sediment, which are software aimed at hydro-sedimentology, the NH Statistic and Sediment computational tool is </w:t>
      </w:r>
      <w:proofErr w:type="gramStart"/>
      <w:r w:rsidRPr="00927D2C">
        <w:rPr>
          <w:rFonts w:ascii="Palatino Linotype" w:eastAsia="Palatino Linotype" w:hAnsi="Palatino Linotype" w:cs="Palatino Linotype"/>
          <w:sz w:val="20"/>
          <w:szCs w:val="20"/>
          <w:lang w:val="en-US"/>
        </w:rPr>
        <w:t>a multidisciplinary</w:t>
      </w:r>
      <w:proofErr w:type="gramEnd"/>
      <w:r w:rsidRPr="00927D2C">
        <w:rPr>
          <w:rFonts w:ascii="Palatino Linotype" w:eastAsia="Palatino Linotype" w:hAnsi="Palatino Linotype" w:cs="Palatino Linotype"/>
          <w:sz w:val="20"/>
          <w:szCs w:val="20"/>
          <w:lang w:val="en-US"/>
        </w:rPr>
        <w:t xml:space="preserve"> software that also performs statistical calculations, at no cost, open source and easy to use, which also contains a manual explaining each of the methods and tests implemented.</w:t>
      </w:r>
    </w:p>
    <w:p w:rsidR="00B7793A" w:rsidRDefault="00B7793A">
      <w:pPr>
        <w:rPr>
          <w:rFonts w:ascii="Palatino Linotype" w:eastAsia="Palatino Linotype" w:hAnsi="Palatino Linotype" w:cs="Palatino Linotype"/>
          <w:sz w:val="20"/>
          <w:szCs w:val="20"/>
          <w:lang w:val="en-US"/>
        </w:rPr>
      </w:pPr>
      <w:r>
        <w:rPr>
          <w:rFonts w:ascii="Palatino Linotype" w:eastAsia="Palatino Linotype" w:hAnsi="Palatino Linotype" w:cs="Palatino Linotype"/>
          <w:sz w:val="20"/>
          <w:szCs w:val="20"/>
          <w:lang w:val="en-US"/>
        </w:rPr>
        <w:br w:type="page"/>
      </w:r>
    </w:p>
    <w:p w:rsidR="00797A6E" w:rsidRPr="00927D2C" w:rsidRDefault="000D7BD9">
      <w:pPr>
        <w:spacing w:before="240" w:after="240" w:line="240" w:lineRule="auto"/>
        <w:jc w:val="center"/>
        <w:rPr>
          <w:rFonts w:ascii="Palatino Linotype" w:eastAsia="Palatino Linotype" w:hAnsi="Palatino Linotype" w:cs="Palatino Linotype"/>
          <w:color w:val="000000"/>
          <w:sz w:val="20"/>
          <w:szCs w:val="20"/>
          <w:shd w:val="clear" w:color="auto" w:fill="D5A6BE"/>
          <w:lang w:val="en-US"/>
        </w:rPr>
      </w:pPr>
      <w:r w:rsidRPr="00927D2C">
        <w:rPr>
          <w:rFonts w:ascii="Palatino Linotype" w:eastAsia="Palatino Linotype" w:hAnsi="Palatino Linotype" w:cs="Palatino Linotype"/>
          <w:sz w:val="20"/>
          <w:szCs w:val="20"/>
          <w:lang w:val="en-US"/>
        </w:rPr>
        <w:lastRenderedPageBreak/>
        <w:t>Table 10 - Comparison between the total sediment discharge values (Qst) obtained in the NHSS computational tool and NH Sediment computation tool (Survey 2)</w:t>
      </w: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00"/>
        <w:gridCol w:w="923"/>
        <w:gridCol w:w="1134"/>
        <w:gridCol w:w="1132"/>
        <w:gridCol w:w="1418"/>
        <w:gridCol w:w="1418"/>
        <w:gridCol w:w="1603"/>
      </w:tblGrid>
      <w:tr w:rsidR="00797A6E" w:rsidRPr="004A63EE">
        <w:trPr>
          <w:trHeight w:val="980"/>
        </w:trPr>
        <w:tc>
          <w:tcPr>
            <w:tcW w:w="1200"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Measurement</w:t>
            </w:r>
          </w:p>
        </w:tc>
        <w:tc>
          <w:tcPr>
            <w:tcW w:w="923"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NHSS [t.day-1]</w:t>
            </w:r>
          </w:p>
        </w:tc>
        <w:tc>
          <w:tcPr>
            <w:tcW w:w="1134"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WinTSR [t.day-1]</w:t>
            </w:r>
          </w:p>
        </w:tc>
        <w:tc>
          <w:tcPr>
            <w:tcW w:w="1132"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Qst - NH Sediment [t.day-1]</w:t>
            </w:r>
          </w:p>
        </w:tc>
        <w:tc>
          <w:tcPr>
            <w:tcW w:w="1418"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Difference between WinTSR and NHSS [%]</w:t>
            </w:r>
          </w:p>
        </w:tc>
        <w:tc>
          <w:tcPr>
            <w:tcW w:w="1418"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Difference between NH Sediment and NHSS [%]</w:t>
            </w:r>
          </w:p>
        </w:tc>
        <w:tc>
          <w:tcPr>
            <w:tcW w:w="1603" w:type="dxa"/>
            <w:vAlign w:val="center"/>
          </w:tcPr>
          <w:p w:rsidR="00797A6E" w:rsidRPr="00927D2C" w:rsidRDefault="000D7BD9">
            <w:pPr>
              <w:jc w:val="center"/>
              <w:rPr>
                <w:rFonts w:ascii="Palatino Linotype" w:eastAsia="Palatino Linotype" w:hAnsi="Palatino Linotype" w:cs="Palatino Linotype"/>
                <w:b/>
                <w:sz w:val="20"/>
                <w:szCs w:val="20"/>
                <w:lang w:val="en-US"/>
              </w:rPr>
            </w:pPr>
            <w:r w:rsidRPr="00927D2C">
              <w:rPr>
                <w:rFonts w:ascii="Palatino Linotype" w:eastAsia="Palatino Linotype" w:hAnsi="Palatino Linotype" w:cs="Palatino Linotype"/>
                <w:b/>
                <w:sz w:val="20"/>
                <w:szCs w:val="20"/>
                <w:lang w:val="en-US"/>
              </w:rPr>
              <w:t xml:space="preserve">Difference between WinTSR </w:t>
            </w:r>
            <w:r w:rsidR="00566316" w:rsidRPr="00927D2C">
              <w:rPr>
                <w:rFonts w:ascii="Palatino Linotype" w:eastAsia="Palatino Linotype" w:hAnsi="Palatino Linotype" w:cs="Palatino Linotype"/>
                <w:b/>
                <w:sz w:val="20"/>
                <w:szCs w:val="20"/>
                <w:lang w:val="en-US"/>
              </w:rPr>
              <w:t>and</w:t>
            </w:r>
            <w:r w:rsidRPr="00927D2C">
              <w:rPr>
                <w:rFonts w:ascii="Palatino Linotype" w:eastAsia="Palatino Linotype" w:hAnsi="Palatino Linotype" w:cs="Palatino Linotype"/>
                <w:b/>
                <w:sz w:val="20"/>
                <w:szCs w:val="20"/>
                <w:lang w:val="en-US"/>
              </w:rPr>
              <w:t xml:space="preserve"> NH Sediment [%]</w:t>
            </w:r>
          </w:p>
        </w:tc>
      </w:tr>
      <w:tr w:rsidR="007F3114" w:rsidRPr="00927D2C" w:rsidTr="00F5400F">
        <w:trPr>
          <w:trHeight w:val="103"/>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C2-S19-3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14.33</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14.29</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14.47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-1.28%</w:t>
            </w:r>
          </w:p>
        </w:tc>
      </w:tr>
      <w:tr w:rsidR="007F3114" w:rsidRPr="00927D2C" w:rsidTr="00F5400F">
        <w:trPr>
          <w:trHeight w:val="26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C2-S19-2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18.37</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18.34</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18.47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-0.17%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0.55%</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-0.72%</w:t>
            </w:r>
          </w:p>
        </w:tc>
      </w:tr>
      <w:tr w:rsidR="007F3114" w:rsidRPr="00927D2C" w:rsidTr="00F5400F">
        <w:trPr>
          <w:trHeight w:val="26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C2-S19-1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19.66</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19.58</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19.90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1.21%</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-1.63%</w:t>
            </w:r>
          </w:p>
        </w:tc>
      </w:tr>
      <w:tr w:rsidR="007F3114" w:rsidRPr="00927D2C" w:rsidTr="00F5400F">
        <w:trPr>
          <w:trHeight w:val="116"/>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C2-S8-2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26.30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26.18</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26.60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1.11%</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-1.58%</w:t>
            </w:r>
          </w:p>
        </w:tc>
      </w:tr>
      <w:tr w:rsidR="007F3114" w:rsidRPr="00927D2C" w:rsidTr="00F5400F">
        <w:trPr>
          <w:trHeight w:val="275"/>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C2-S8-1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26.41</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26.29</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26.71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-1.62%</w:t>
            </w:r>
          </w:p>
        </w:tc>
      </w:tr>
      <w:tr w:rsidR="007F3114" w:rsidRPr="00927D2C" w:rsidTr="00F5400F">
        <w:trPr>
          <w:trHeight w:val="12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C2-S6-2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27.14</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27.03</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27.40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-1.38%</w:t>
            </w:r>
          </w:p>
        </w:tc>
      </w:tr>
      <w:tr w:rsidR="007F3114" w:rsidRPr="00927D2C" w:rsidTr="00F5400F">
        <w:trPr>
          <w:trHeight w:val="269"/>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C2-S6-3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27.23</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27.11</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27.54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1.11%</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-1.59%</w:t>
            </w:r>
          </w:p>
        </w:tc>
      </w:tr>
      <w:tr w:rsidR="007F3114" w:rsidRPr="00927D2C" w:rsidTr="00F5400F">
        <w:trPr>
          <w:trHeight w:val="27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C2-S6-1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27.89</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27.79</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28.16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-1.36%</w:t>
            </w:r>
          </w:p>
        </w:tc>
      </w:tr>
      <w:tr w:rsidR="007F3114" w:rsidRPr="00927D2C" w:rsidTr="00F5400F">
        <w:trPr>
          <w:trHeight w:val="27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30.28</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30.16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30.60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1.04%</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-1.47%</w:t>
            </w:r>
          </w:p>
        </w:tc>
      </w:tr>
      <w:tr w:rsidR="007F3114" w:rsidRPr="00927D2C" w:rsidTr="00F5400F">
        <w:trPr>
          <w:trHeight w:val="268"/>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C2-S8-3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31.10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30.95</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31.46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1.14%</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-1.66%</w:t>
            </w:r>
          </w:p>
        </w:tc>
      </w:tr>
      <w:tr w:rsidR="007F3114" w:rsidRPr="00927D2C" w:rsidTr="00F5400F">
        <w:trPr>
          <w:trHeight w:val="143"/>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36.69</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36.56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37.03</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0.92%</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-1.30%</w:t>
            </w:r>
          </w:p>
        </w:tc>
      </w:tr>
      <w:tr w:rsidR="007F3114" w:rsidRPr="00927D2C" w:rsidTr="00F5400F">
        <w:trPr>
          <w:trHeight w:val="13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37.72</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37.60</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38.05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0.85%</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-1.21%</w:t>
            </w:r>
          </w:p>
        </w:tc>
      </w:tr>
      <w:tr w:rsidR="007F3114" w:rsidRPr="00927D2C" w:rsidTr="00F5400F">
        <w:trPr>
          <w:trHeight w:val="13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C1-S20-3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38.17</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38.09</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38.40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-0.19%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0.61%</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-0.81%</w:t>
            </w:r>
          </w:p>
        </w:tc>
      </w:tr>
      <w:tr w:rsidR="007F3114" w:rsidRPr="00927D2C" w:rsidTr="00F5400F">
        <w:trPr>
          <w:trHeight w:val="142"/>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C1-S20-4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39.94</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39.78</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40.37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1.08%</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-1.48%</w:t>
            </w:r>
          </w:p>
        </w:tc>
      </w:tr>
      <w:tr w:rsidR="007F3114" w:rsidRPr="00927D2C" w:rsidTr="00F5400F">
        <w:trPr>
          <w:trHeight w:val="28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C1-S20-2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43.66</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43.52</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44.05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0.88%</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-1.21%</w:t>
            </w:r>
          </w:p>
        </w:tc>
      </w:tr>
      <w:tr w:rsidR="007F3114" w:rsidRPr="00927D2C" w:rsidTr="00F5400F">
        <w:trPr>
          <w:trHeight w:val="278"/>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C2-S16-2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46.09</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46.14</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46.36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0.10%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0.59%</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-0.49%</w:t>
            </w:r>
          </w:p>
        </w:tc>
      </w:tr>
      <w:tr w:rsidR="007F3114" w:rsidRPr="00927D2C" w:rsidTr="00F5400F">
        <w:trPr>
          <w:trHeight w:val="125"/>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C1-S16-4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47.51</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47.46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47.73</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-0.12%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-0.59%</w:t>
            </w:r>
          </w:p>
        </w:tc>
      </w:tr>
      <w:tr w:rsidR="007F3114" w:rsidRPr="00927D2C" w:rsidTr="00F5400F">
        <w:trPr>
          <w:trHeight w:val="130"/>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C1-S20-1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47.58</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47.47</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47.88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0.65%</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-0.87%</w:t>
            </w:r>
          </w:p>
        </w:tc>
      </w:tr>
      <w:tr w:rsidR="007F3114" w:rsidRPr="00927D2C" w:rsidTr="00F5400F">
        <w:trPr>
          <w:trHeight w:val="275"/>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C2-S12-2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48.17</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48.04</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48.52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-1.00%</w:t>
            </w:r>
          </w:p>
        </w:tc>
      </w:tr>
      <w:tr w:rsidR="007F3114" w:rsidRPr="00927D2C" w:rsidTr="00F5400F">
        <w:trPr>
          <w:trHeight w:val="280"/>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C2-S12-1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52.33</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52.15</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52.84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-1.33%</w:t>
            </w:r>
          </w:p>
        </w:tc>
      </w:tr>
      <w:tr w:rsidR="007F3114" w:rsidRPr="00927D2C" w:rsidTr="00F5400F">
        <w:trPr>
          <w:trHeight w:val="12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C2-S12-3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52.40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52.23</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52.87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0.89%</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-1.22%</w:t>
            </w:r>
          </w:p>
        </w:tc>
      </w:tr>
      <w:tr w:rsidR="007F3114" w:rsidRPr="00927D2C" w:rsidTr="00F5400F">
        <w:trPr>
          <w:trHeight w:val="132"/>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C2-S16-1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52.56</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52.59</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52.78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0.07%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-0.36%</w:t>
            </w:r>
          </w:p>
        </w:tc>
      </w:tr>
      <w:tr w:rsidR="007F3114" w:rsidRPr="00927D2C" w:rsidTr="00F5400F">
        <w:trPr>
          <w:trHeight w:val="135"/>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C2-S16-3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53.62</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53.65</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53.83</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0.06%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0.39%</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-0.33%</w:t>
            </w:r>
          </w:p>
        </w:tc>
      </w:tr>
      <w:tr w:rsidR="007F3114" w:rsidRPr="00927D2C" w:rsidTr="00F5400F">
        <w:trPr>
          <w:trHeight w:val="15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C1-S12-4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65.43</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65.24</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65.95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0.80%</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-1.09%</w:t>
            </w:r>
          </w:p>
        </w:tc>
      </w:tr>
      <w:tr w:rsidR="007F3114" w:rsidRPr="00927D2C" w:rsidTr="00F5400F">
        <w:trPr>
          <w:trHeight w:val="143"/>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C1-S12-2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71.65</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71.45</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72.18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0.74%</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-1.02%</w:t>
            </w:r>
          </w:p>
        </w:tc>
      </w:tr>
      <w:tr w:rsidR="007F3114" w:rsidRPr="00927D2C" w:rsidTr="00F5400F">
        <w:trPr>
          <w:trHeight w:val="148"/>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C1-S12-3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78.07</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77.86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78.65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-1.00%</w:t>
            </w:r>
          </w:p>
        </w:tc>
      </w:tr>
      <w:tr w:rsidR="007F3114" w:rsidRPr="00927D2C" w:rsidTr="00F5400F">
        <w:trPr>
          <w:trHeight w:val="151"/>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C1-S12-1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87.00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86.76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87.64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-1.01%</w:t>
            </w:r>
          </w:p>
        </w:tc>
      </w:tr>
      <w:tr w:rsidR="007F3114" w:rsidRPr="00927D2C" w:rsidTr="00F5400F">
        <w:trPr>
          <w:trHeight w:val="156"/>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C1-S8-1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88.22</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87.86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89.04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-1.35%</w:t>
            </w:r>
          </w:p>
        </w:tc>
      </w:tr>
      <w:tr w:rsidR="007F3114" w:rsidRPr="00927D2C" w:rsidTr="00F5400F">
        <w:trPr>
          <w:trHeight w:val="159"/>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C1-S8-2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88.20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87.93</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88.84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0.73%</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-1.03%</w:t>
            </w:r>
          </w:p>
        </w:tc>
      </w:tr>
      <w:tr w:rsidR="007F3114" w:rsidRPr="00927D2C" w:rsidTr="00F5400F">
        <w:trPr>
          <w:trHeight w:val="164"/>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C1-S8-4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91.59</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91.22</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92.29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0.76%</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-1.18%</w:t>
            </w:r>
          </w:p>
        </w:tc>
      </w:tr>
      <w:tr w:rsidR="007F3114" w:rsidRPr="00927D2C" w:rsidTr="00F5400F">
        <w:trPr>
          <w:trHeight w:val="167"/>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C1-S8-3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92.03</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91.72</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92.76</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0.79%</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-1.13%</w:t>
            </w:r>
          </w:p>
        </w:tc>
      </w:tr>
      <w:tr w:rsidR="007F3114" w:rsidRPr="00927D2C" w:rsidTr="00F5400F">
        <w:trPr>
          <w:trHeight w:val="172"/>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C1-S6-4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105.91</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105.54</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106.70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0.74%</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-1.10%</w:t>
            </w:r>
          </w:p>
        </w:tc>
      </w:tr>
      <w:tr w:rsidR="007F3114" w:rsidRPr="00927D2C" w:rsidTr="00F5400F">
        <w:trPr>
          <w:trHeight w:val="175"/>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C1/S6-1</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107.42</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106.98</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108.31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-0.41%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0.82%</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-1.24%</w:t>
            </w:r>
          </w:p>
        </w:tc>
      </w:tr>
      <w:tr w:rsidR="007F3114" w:rsidRPr="00927D2C" w:rsidTr="00F5400F">
        <w:trPr>
          <w:trHeight w:val="180"/>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C1/S6-2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108.36</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107.96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109.20</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0.77%</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-1.15%</w:t>
            </w:r>
          </w:p>
        </w:tc>
      </w:tr>
      <w:tr w:rsidR="007F3114" w:rsidRPr="00927D2C" w:rsidTr="00F5400F">
        <w:trPr>
          <w:trHeight w:val="169"/>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113.00</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112.73</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113.65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-0.24%</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0.58%</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-0.82%</w:t>
            </w:r>
          </w:p>
        </w:tc>
      </w:tr>
      <w:tr w:rsidR="007F3114" w:rsidRPr="00927D2C" w:rsidTr="00F5400F">
        <w:trPr>
          <w:trHeight w:val="188"/>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C1/S1-2</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114.05</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113.77</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114.72</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-0.25%</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0.59%</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-0.84%</w:t>
            </w:r>
          </w:p>
        </w:tc>
      </w:tr>
      <w:tr w:rsidR="007F3114" w:rsidRPr="00927D2C" w:rsidTr="00F5400F">
        <w:trPr>
          <w:trHeight w:val="191"/>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C1/S1-4</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116.87</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116.56</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117.61</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-0.27%</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0.62%</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-0.90%</w:t>
            </w:r>
          </w:p>
        </w:tc>
      </w:tr>
      <w:tr w:rsidR="007F3114" w:rsidRPr="00927D2C" w:rsidTr="00F5400F">
        <w:trPr>
          <w:trHeight w:val="182"/>
        </w:trPr>
        <w:tc>
          <w:tcPr>
            <w:tcW w:w="1200" w:type="dxa"/>
            <w:vAlign w:val="center"/>
          </w:tcPr>
          <w:p w:rsidR="007F3114" w:rsidRPr="00927D2C" w:rsidRDefault="007F3114" w:rsidP="007F3114">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C1-S6-3</w:t>
            </w:r>
          </w:p>
        </w:tc>
        <w:tc>
          <w:tcPr>
            <w:tcW w:w="92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118.04</w:t>
            </w:r>
          </w:p>
        </w:tc>
        <w:tc>
          <w:tcPr>
            <w:tcW w:w="1134"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117.58</w:t>
            </w:r>
          </w:p>
        </w:tc>
        <w:tc>
          <w:tcPr>
            <w:tcW w:w="1132"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118.98</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-0.39%</w:t>
            </w:r>
          </w:p>
        </w:tc>
        <w:tc>
          <w:tcPr>
            <w:tcW w:w="1418"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0.78%</w:t>
            </w:r>
          </w:p>
        </w:tc>
        <w:tc>
          <w:tcPr>
            <w:tcW w:w="1603" w:type="dxa"/>
          </w:tcPr>
          <w:p w:rsidR="007F3114" w:rsidRPr="007F3114" w:rsidRDefault="007F3114" w:rsidP="007F3114">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-1.19%</w:t>
            </w:r>
          </w:p>
        </w:tc>
      </w:tr>
      <w:tr w:rsidR="00797A6E" w:rsidRPr="00927D2C" w:rsidTr="00F5400F">
        <w:trPr>
          <w:trHeight w:val="200"/>
        </w:trPr>
        <w:tc>
          <w:tcPr>
            <w:tcW w:w="1200" w:type="dxa"/>
            <w:vAlign w:val="center"/>
          </w:tcPr>
          <w:p w:rsidR="00797A6E" w:rsidRPr="00927D2C" w:rsidRDefault="000D7BD9">
            <w:pPr>
              <w:jc w:val="center"/>
              <w:rPr>
                <w:rFonts w:ascii="Palatino Linotype" w:eastAsia="Palatino Linotype" w:hAnsi="Palatino Linotype" w:cs="Palatino Linotype"/>
                <w:sz w:val="20"/>
                <w:szCs w:val="20"/>
                <w:lang w:val="en-US"/>
              </w:rPr>
            </w:pPr>
            <w:r w:rsidRPr="00927D2C">
              <w:rPr>
                <w:rFonts w:ascii="Palatino Linotype" w:eastAsia="Palatino Linotype" w:hAnsi="Palatino Linotype" w:cs="Palatino Linotype"/>
                <w:sz w:val="20"/>
                <w:szCs w:val="20"/>
                <w:lang w:val="en-US"/>
              </w:rPr>
              <w:t>C1/S1-1</w:t>
            </w:r>
          </w:p>
        </w:tc>
        <w:tc>
          <w:tcPr>
            <w:tcW w:w="923"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126</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80</w:t>
            </w:r>
          </w:p>
        </w:tc>
        <w:tc>
          <w:tcPr>
            <w:tcW w:w="1134"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126</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47</w:t>
            </w:r>
          </w:p>
        </w:tc>
        <w:tc>
          <w:tcPr>
            <w:tcW w:w="1132"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127</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58</w:t>
            </w:r>
          </w:p>
        </w:tc>
        <w:tc>
          <w:tcPr>
            <w:tcW w:w="1418"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26%</w:t>
            </w:r>
          </w:p>
        </w:tc>
        <w:tc>
          <w:tcPr>
            <w:tcW w:w="1418"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61%</w:t>
            </w:r>
          </w:p>
        </w:tc>
        <w:tc>
          <w:tcPr>
            <w:tcW w:w="1603" w:type="dxa"/>
            <w:vAlign w:val="center"/>
          </w:tcPr>
          <w:p w:rsidR="00797A6E" w:rsidRPr="007F3114" w:rsidRDefault="000D7BD9">
            <w:pPr>
              <w:jc w:val="center"/>
              <w:rPr>
                <w:rFonts w:ascii="Palatino Linotype" w:eastAsia="Palatino Linotype" w:hAnsi="Palatino Linotype" w:cs="Palatino Linotype"/>
                <w:color w:val="000000"/>
                <w:sz w:val="20"/>
                <w:szCs w:val="20"/>
                <w:lang w:val="en-US"/>
              </w:rPr>
            </w:pPr>
            <w:r w:rsidRPr="007F3114">
              <w:rPr>
                <w:rFonts w:ascii="Palatino Linotype" w:eastAsia="Palatino Linotype" w:hAnsi="Palatino Linotype" w:cs="Palatino Linotype"/>
                <w:color w:val="000000"/>
                <w:sz w:val="20"/>
                <w:szCs w:val="20"/>
                <w:lang w:val="en-US"/>
              </w:rPr>
              <w:t>-0</w:t>
            </w:r>
            <w:r w:rsidR="001325F3">
              <w:rPr>
                <w:rFonts w:ascii="Palatino Linotype" w:eastAsia="Palatino Linotype" w:hAnsi="Palatino Linotype" w:cs="Palatino Linotype"/>
                <w:color w:val="000000"/>
                <w:sz w:val="20"/>
                <w:szCs w:val="20"/>
                <w:lang w:val="en-US"/>
              </w:rPr>
              <w:t>.</w:t>
            </w:r>
            <w:r w:rsidRPr="007F3114">
              <w:rPr>
                <w:rFonts w:ascii="Palatino Linotype" w:eastAsia="Palatino Linotype" w:hAnsi="Palatino Linotype" w:cs="Palatino Linotype"/>
                <w:color w:val="000000"/>
                <w:sz w:val="20"/>
                <w:szCs w:val="20"/>
                <w:lang w:val="en-US"/>
              </w:rPr>
              <w:t>88%</w:t>
            </w:r>
          </w:p>
        </w:tc>
      </w:tr>
    </w:tbl>
    <w:p w:rsidR="00F5400F" w:rsidRDefault="00F5400F">
      <w:pPr>
        <w:pBdr>
          <w:top w:val="nil"/>
          <w:left w:val="nil"/>
          <w:bottom w:val="nil"/>
          <w:right w:val="nil"/>
          <w:between w:val="nil"/>
        </w:pBdr>
        <w:spacing w:before="360" w:after="200"/>
        <w:rPr>
          <w:rFonts w:ascii="Palatino Linotype" w:eastAsia="Palatino Linotype" w:hAnsi="Palatino Linotype" w:cs="Palatino Linotype"/>
          <w:b/>
          <w:sz w:val="24"/>
          <w:szCs w:val="24"/>
          <w:lang w:val="en-US"/>
        </w:rPr>
      </w:pPr>
    </w:p>
    <w:p w:rsidR="00797A6E" w:rsidRPr="00F5400F" w:rsidRDefault="00F5400F" w:rsidP="00F5400F">
      <w:pPr>
        <w:rPr>
          <w:rFonts w:ascii="Palatino Linotype" w:eastAsia="Palatino Linotype" w:hAnsi="Palatino Linotype" w:cs="Palatino Linotype"/>
          <w:b/>
          <w:sz w:val="24"/>
          <w:szCs w:val="24"/>
          <w:lang w:val="en-US"/>
        </w:rPr>
      </w:pPr>
      <w:r>
        <w:rPr>
          <w:rFonts w:ascii="Palatino Linotype" w:eastAsia="Palatino Linotype" w:hAnsi="Palatino Linotype" w:cs="Palatino Linotype"/>
          <w:b/>
          <w:sz w:val="24"/>
          <w:szCs w:val="24"/>
          <w:lang w:val="en-US"/>
        </w:rPr>
        <w:br w:type="page"/>
      </w:r>
      <w:r w:rsidR="000D7BD9" w:rsidRPr="00927D2C">
        <w:rPr>
          <w:rFonts w:ascii="Palatino Linotype" w:eastAsia="Palatino Linotype" w:hAnsi="Palatino Linotype" w:cs="Palatino Linotype"/>
          <w:b/>
          <w:sz w:val="24"/>
          <w:szCs w:val="24"/>
          <w:lang w:val="en-US"/>
        </w:rPr>
        <w:lastRenderedPageBreak/>
        <w:t>4</w:t>
      </w:r>
      <w:r w:rsidR="000D7BD9" w:rsidRPr="00927D2C">
        <w:rPr>
          <w:rFonts w:ascii="Palatino Linotype" w:eastAsia="Palatino Linotype" w:hAnsi="Palatino Linotype" w:cs="Palatino Linotype"/>
          <w:b/>
          <w:color w:val="000000"/>
          <w:sz w:val="24"/>
          <w:szCs w:val="24"/>
          <w:lang w:val="en-US"/>
        </w:rPr>
        <w:t xml:space="preserve"> Conclu</w:t>
      </w:r>
      <w:r w:rsidR="000D7BD9" w:rsidRPr="00927D2C">
        <w:rPr>
          <w:rFonts w:ascii="Palatino Linotype" w:eastAsia="Palatino Linotype" w:hAnsi="Palatino Linotype" w:cs="Palatino Linotype"/>
          <w:b/>
          <w:sz w:val="24"/>
          <w:szCs w:val="24"/>
          <w:lang w:val="en-US"/>
        </w:rPr>
        <w:t>ding Remarks</w:t>
      </w:r>
    </w:p>
    <w:p w:rsidR="00797A6E" w:rsidRPr="00927D2C" w:rsidRDefault="000D7BD9">
      <w:pPr>
        <w:spacing w:after="0"/>
        <w:ind w:firstLine="284"/>
        <w:jc w:val="both"/>
        <w:rPr>
          <w:rFonts w:ascii="Palatino Linotype" w:eastAsia="Palatino Linotype" w:hAnsi="Palatino Linotype" w:cs="Palatino Linotype"/>
          <w:lang w:val="en-US"/>
        </w:rPr>
      </w:pPr>
      <w:r w:rsidRPr="00927D2C">
        <w:rPr>
          <w:rFonts w:ascii="Palatino Linotype" w:eastAsia="Palatino Linotype" w:hAnsi="Palatino Linotype" w:cs="Palatino Linotype"/>
          <w:lang w:val="en-US"/>
        </w:rPr>
        <w:t xml:space="preserve">The results of total solid discharge obtained with the developed computational tool characterize the transportation of sediments in water </w:t>
      </w:r>
      <w:r w:rsidR="00566316" w:rsidRPr="00927D2C">
        <w:rPr>
          <w:rFonts w:ascii="Palatino Linotype" w:eastAsia="Palatino Linotype" w:hAnsi="Palatino Linotype" w:cs="Palatino Linotype"/>
          <w:lang w:val="en-US"/>
        </w:rPr>
        <w:t>bodies and</w:t>
      </w:r>
      <w:r w:rsidRPr="00927D2C">
        <w:rPr>
          <w:rFonts w:ascii="Palatino Linotype" w:eastAsia="Palatino Linotype" w:hAnsi="Palatino Linotype" w:cs="Palatino Linotype"/>
          <w:lang w:val="en-US"/>
        </w:rPr>
        <w:t xml:space="preserve"> allow the identification of deposition spots and temporal variations in the sediment </w:t>
      </w:r>
      <w:r w:rsidR="00566316" w:rsidRPr="00927D2C">
        <w:rPr>
          <w:rFonts w:ascii="Palatino Linotype" w:eastAsia="Palatino Linotype" w:hAnsi="Palatino Linotype" w:cs="Palatino Linotype"/>
          <w:lang w:val="en-US"/>
        </w:rPr>
        <w:t>discharge</w:t>
      </w:r>
      <w:r w:rsidRPr="00927D2C">
        <w:rPr>
          <w:rFonts w:ascii="Palatino Linotype" w:eastAsia="Palatino Linotype" w:hAnsi="Palatino Linotype" w:cs="Palatino Linotype"/>
          <w:lang w:val="en-US"/>
        </w:rPr>
        <w:t>.</w:t>
      </w:r>
    </w:p>
    <w:p w:rsidR="00797A6E" w:rsidRPr="00927D2C" w:rsidRDefault="000D7BD9">
      <w:pPr>
        <w:spacing w:after="0"/>
        <w:ind w:firstLine="284"/>
        <w:jc w:val="both"/>
        <w:rPr>
          <w:rFonts w:ascii="Palatino Linotype" w:eastAsia="Palatino Linotype" w:hAnsi="Palatino Linotype" w:cs="Palatino Linotype"/>
          <w:lang w:val="en-US"/>
        </w:rPr>
      </w:pPr>
      <w:r w:rsidRPr="00927D2C">
        <w:rPr>
          <w:rFonts w:ascii="Palatino Linotype" w:eastAsia="Palatino Linotype" w:hAnsi="Palatino Linotype" w:cs="Palatino Linotype"/>
          <w:lang w:val="en-US"/>
        </w:rPr>
        <w:t xml:space="preserve">In addition, the NH Statistic and Sediment computational tool achieves results consistent with other software and it can be said that, besides being reliable, it has a user-friendly interface and presents </w:t>
      </w:r>
      <w:proofErr w:type="gramStart"/>
      <w:r w:rsidRPr="00927D2C">
        <w:rPr>
          <w:rFonts w:ascii="Palatino Linotype" w:eastAsia="Palatino Linotype" w:hAnsi="Palatino Linotype" w:cs="Palatino Linotype"/>
          <w:lang w:val="en-US"/>
        </w:rPr>
        <w:t>an</w:t>
      </w:r>
      <w:proofErr w:type="gramEnd"/>
      <w:r w:rsidRPr="00927D2C">
        <w:rPr>
          <w:rFonts w:ascii="Palatino Linotype" w:eastAsia="Palatino Linotype" w:hAnsi="Palatino Linotype" w:cs="Palatino Linotype"/>
          <w:lang w:val="en-US"/>
        </w:rPr>
        <w:t xml:space="preserve"> user manual for all the tests and methods implemented, which makes its use simple and practical.</w:t>
      </w:r>
    </w:p>
    <w:p w:rsidR="00797A6E" w:rsidRPr="00927D2C" w:rsidRDefault="000D7BD9">
      <w:pPr>
        <w:spacing w:after="0"/>
        <w:ind w:firstLine="284"/>
        <w:jc w:val="both"/>
        <w:rPr>
          <w:rFonts w:ascii="Palatino Linotype" w:eastAsia="Palatino Linotype" w:hAnsi="Palatino Linotype" w:cs="Palatino Linotype"/>
          <w:lang w:val="en-US"/>
        </w:rPr>
      </w:pPr>
      <w:r w:rsidRPr="00927D2C">
        <w:rPr>
          <w:rFonts w:ascii="Palatino Linotype" w:eastAsia="Palatino Linotype" w:hAnsi="Palatino Linotype" w:cs="Palatino Linotype"/>
          <w:lang w:val="en-US"/>
        </w:rPr>
        <w:t>All in all, it is also important to note that the methodology used in the case study can be replicated to other sites, providing better information for the management and planning of water resources.</w:t>
      </w:r>
    </w:p>
    <w:p w:rsidR="00797A6E" w:rsidRPr="00927D2C" w:rsidRDefault="000D7BD9">
      <w:pPr>
        <w:pBdr>
          <w:top w:val="nil"/>
          <w:left w:val="nil"/>
          <w:bottom w:val="nil"/>
          <w:right w:val="nil"/>
          <w:between w:val="nil"/>
        </w:pBdr>
        <w:spacing w:before="360" w:after="200"/>
        <w:rPr>
          <w:rFonts w:ascii="Palatino Linotype" w:eastAsia="Palatino Linotype" w:hAnsi="Palatino Linotype" w:cs="Palatino Linotype"/>
          <w:b/>
          <w:color w:val="000000"/>
          <w:sz w:val="24"/>
          <w:szCs w:val="24"/>
          <w:lang w:val="en-US"/>
        </w:rPr>
      </w:pPr>
      <w:r w:rsidRPr="00927D2C">
        <w:rPr>
          <w:rFonts w:ascii="Palatino Linotype" w:eastAsia="Palatino Linotype" w:hAnsi="Palatino Linotype" w:cs="Palatino Linotype"/>
          <w:b/>
          <w:sz w:val="24"/>
          <w:szCs w:val="24"/>
          <w:lang w:val="en-US"/>
        </w:rPr>
        <w:t>Acknowledgments</w:t>
      </w:r>
    </w:p>
    <w:p w:rsidR="00797A6E" w:rsidRPr="00927D2C" w:rsidRDefault="000D7BD9">
      <w:pPr>
        <w:spacing w:after="0"/>
        <w:ind w:firstLine="284"/>
        <w:jc w:val="both"/>
        <w:rPr>
          <w:rFonts w:ascii="Palatino Linotype" w:eastAsia="Palatino Linotype" w:hAnsi="Palatino Linotype" w:cs="Palatino Linotype"/>
          <w:lang w:val="en-US"/>
        </w:rPr>
      </w:pPr>
      <w:r w:rsidRPr="00927D2C">
        <w:rPr>
          <w:rFonts w:ascii="Palatino Linotype" w:eastAsia="Palatino Linotype" w:hAnsi="Palatino Linotype" w:cs="Palatino Linotype"/>
          <w:lang w:val="en-US"/>
        </w:rPr>
        <w:t xml:space="preserve">The authors are grateful to AES Tietê S.A. company, which financially supported the data collection through the Program for Research and Development of Electric Power Sector, and Foundation for the Enhancement of Research and Industrial Improvement (FIPAI), Higher Education Personnel Improvement Coordination, National Council for Scientific and Technological Development, and Hydrometric Group of Center of Water Resources and Environmental Studies of São Carlos Engineering School at University of São Paulo. </w:t>
      </w:r>
    </w:p>
    <w:p w:rsidR="008B6043" w:rsidRPr="008B6043" w:rsidRDefault="000D7BD9">
      <w:pPr>
        <w:pBdr>
          <w:top w:val="nil"/>
          <w:left w:val="nil"/>
          <w:bottom w:val="nil"/>
          <w:right w:val="nil"/>
          <w:between w:val="nil"/>
        </w:pBdr>
        <w:spacing w:before="360" w:after="200"/>
        <w:rPr>
          <w:rFonts w:ascii="Palatino Linotype" w:eastAsia="Palatino Linotype" w:hAnsi="Palatino Linotype" w:cs="Palatino Linotype"/>
          <w:b/>
          <w:sz w:val="24"/>
          <w:szCs w:val="24"/>
        </w:rPr>
      </w:pPr>
      <w:r w:rsidRPr="00643064">
        <w:rPr>
          <w:rFonts w:ascii="Palatino Linotype" w:eastAsia="Palatino Linotype" w:hAnsi="Palatino Linotype" w:cs="Palatino Linotype"/>
          <w:b/>
          <w:color w:val="000000"/>
          <w:sz w:val="24"/>
          <w:szCs w:val="24"/>
        </w:rPr>
        <w:t>Refer</w:t>
      </w:r>
      <w:r w:rsidRPr="00643064">
        <w:rPr>
          <w:rFonts w:ascii="Palatino Linotype" w:eastAsia="Palatino Linotype" w:hAnsi="Palatino Linotype" w:cs="Palatino Linotype"/>
          <w:b/>
          <w:sz w:val="24"/>
          <w:szCs w:val="24"/>
        </w:rPr>
        <w:t>ences</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643064">
        <w:rPr>
          <w:rFonts w:ascii="Palatino Linotype" w:eastAsia="Palatino Linotype" w:hAnsi="Palatino Linotype" w:cs="Palatino Linotype"/>
          <w:color w:val="000000"/>
          <w:sz w:val="20"/>
          <w:szCs w:val="20"/>
        </w:rPr>
        <w:t xml:space="preserve">AES TIETÊ. </w:t>
      </w:r>
      <w:r w:rsidRPr="00643064">
        <w:rPr>
          <w:rFonts w:ascii="Palatino Linotype" w:eastAsia="Palatino Linotype" w:hAnsi="Palatino Linotype" w:cs="Palatino Linotype"/>
          <w:b/>
          <w:color w:val="000000"/>
          <w:sz w:val="20"/>
          <w:szCs w:val="20"/>
        </w:rPr>
        <w:t>Pequena central hidrelétrica Mogi-Guaçu</w:t>
      </w:r>
      <w:r w:rsidRPr="00643064">
        <w:rPr>
          <w:rFonts w:ascii="Palatino Linotype" w:eastAsia="Palatino Linotype" w:hAnsi="Palatino Linotype" w:cs="Palatino Linotype"/>
          <w:color w:val="000000"/>
          <w:sz w:val="20"/>
          <w:szCs w:val="20"/>
        </w:rPr>
        <w:t xml:space="preserve"> [internet]. </w:t>
      </w:r>
      <w:r w:rsidRPr="00927D2C">
        <w:rPr>
          <w:rFonts w:ascii="Palatino Linotype" w:eastAsia="Palatino Linotype" w:hAnsi="Palatino Linotype" w:cs="Palatino Linotype"/>
          <w:color w:val="000000"/>
          <w:sz w:val="20"/>
          <w:szCs w:val="20"/>
          <w:lang w:val="en-US"/>
        </w:rPr>
        <w:t>2017 [cited 2018 set 27]. Available from: https://www.aestiete.com.br/quem-somos/nossas-plantas.</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proofErr w:type="gramStart"/>
      <w:r w:rsidRPr="00927D2C">
        <w:rPr>
          <w:rFonts w:ascii="Palatino Linotype" w:eastAsia="Palatino Linotype" w:hAnsi="Palatino Linotype" w:cs="Palatino Linotype"/>
          <w:color w:val="000000"/>
          <w:sz w:val="20"/>
          <w:szCs w:val="20"/>
          <w:lang w:val="en-US"/>
        </w:rPr>
        <w:t>ALONSO, C. V.; NEIBLING, W. H.; FOSTER, G. R. Estimating sediment transport capacity in watershed modeling.</w:t>
      </w:r>
      <w:proofErr w:type="gramEnd"/>
      <w:r w:rsidRPr="00927D2C">
        <w:rPr>
          <w:rFonts w:ascii="Palatino Linotype" w:eastAsia="Palatino Linotype" w:hAnsi="Palatino Linotype" w:cs="Palatino Linotype"/>
          <w:color w:val="000000"/>
          <w:sz w:val="20"/>
          <w:szCs w:val="20"/>
          <w:lang w:val="en-US"/>
        </w:rPr>
        <w:t xml:space="preserve"> </w:t>
      </w:r>
      <w:proofErr w:type="gramStart"/>
      <w:r w:rsidRPr="00927D2C">
        <w:rPr>
          <w:rFonts w:ascii="Palatino Linotype" w:eastAsia="Palatino Linotype" w:hAnsi="Palatino Linotype" w:cs="Palatino Linotype"/>
          <w:b/>
          <w:color w:val="000000"/>
          <w:sz w:val="20"/>
          <w:szCs w:val="20"/>
          <w:lang w:val="en-US"/>
        </w:rPr>
        <w:t>Transactions of the American Society of Agricultural and Biological Engineers</w:t>
      </w:r>
      <w:r w:rsidRPr="00927D2C">
        <w:rPr>
          <w:rFonts w:ascii="Palatino Linotype" w:eastAsia="Palatino Linotype" w:hAnsi="Palatino Linotype" w:cs="Palatino Linotype"/>
          <w:color w:val="000000"/>
          <w:sz w:val="20"/>
          <w:szCs w:val="20"/>
          <w:lang w:val="en-US"/>
        </w:rPr>
        <w:t>.</w:t>
      </w:r>
      <w:proofErr w:type="gramEnd"/>
      <w:r w:rsidRPr="00927D2C">
        <w:rPr>
          <w:rFonts w:ascii="Palatino Linotype" w:eastAsia="Palatino Linotype" w:hAnsi="Palatino Linotype" w:cs="Palatino Linotype"/>
          <w:color w:val="000000"/>
          <w:sz w:val="20"/>
          <w:szCs w:val="20"/>
          <w:lang w:val="en-US"/>
        </w:rPr>
        <w:t xml:space="preserve"> 1981</w:t>
      </w:r>
      <w:proofErr w:type="gramStart"/>
      <w:r w:rsidRPr="00927D2C">
        <w:rPr>
          <w:rFonts w:ascii="Palatino Linotype" w:eastAsia="Palatino Linotype" w:hAnsi="Palatino Linotype" w:cs="Palatino Linotype"/>
          <w:color w:val="000000"/>
          <w:sz w:val="20"/>
          <w:szCs w:val="20"/>
          <w:lang w:val="en-US"/>
        </w:rPr>
        <w:t>,24</w:t>
      </w:r>
      <w:proofErr w:type="gramEnd"/>
      <w:r w:rsidRPr="00927D2C">
        <w:rPr>
          <w:rFonts w:ascii="Palatino Linotype" w:eastAsia="Palatino Linotype" w:hAnsi="Palatino Linotype" w:cs="Palatino Linotype"/>
          <w:color w:val="000000"/>
          <w:sz w:val="20"/>
          <w:szCs w:val="20"/>
          <w:lang w:val="en-US"/>
        </w:rPr>
        <w:t>(5):1211-1220.</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proofErr w:type="gramStart"/>
      <w:r w:rsidRPr="00927D2C">
        <w:rPr>
          <w:rFonts w:ascii="Palatino Linotype" w:eastAsia="Palatino Linotype" w:hAnsi="Palatino Linotype" w:cs="Palatino Linotype"/>
          <w:color w:val="000000"/>
          <w:sz w:val="20"/>
          <w:szCs w:val="20"/>
          <w:lang w:val="en-US"/>
        </w:rPr>
        <w:t>AMERICAN PUBLIC HEALTH ASSOCIATION (APHA).</w:t>
      </w:r>
      <w:proofErr w:type="gramEnd"/>
      <w:r w:rsidRPr="00927D2C">
        <w:rPr>
          <w:rFonts w:ascii="Palatino Linotype" w:eastAsia="Palatino Linotype" w:hAnsi="Palatino Linotype" w:cs="Palatino Linotype"/>
          <w:color w:val="000000"/>
          <w:sz w:val="20"/>
          <w:szCs w:val="20"/>
          <w:lang w:val="en-US"/>
        </w:rPr>
        <w:t xml:space="preserve"> </w:t>
      </w:r>
      <w:proofErr w:type="gramStart"/>
      <w:r w:rsidRPr="00927D2C">
        <w:rPr>
          <w:rFonts w:ascii="Palatino Linotype" w:eastAsia="Palatino Linotype" w:hAnsi="Palatino Linotype" w:cs="Palatino Linotype"/>
          <w:b/>
          <w:color w:val="000000"/>
          <w:sz w:val="20"/>
          <w:szCs w:val="20"/>
          <w:lang w:val="en-US"/>
        </w:rPr>
        <w:t>Standard methods for examination of water and wastewater</w:t>
      </w:r>
      <w:r w:rsidRPr="00927D2C">
        <w:rPr>
          <w:rFonts w:ascii="Palatino Linotype" w:eastAsia="Palatino Linotype" w:hAnsi="Palatino Linotype" w:cs="Palatino Linotype"/>
          <w:color w:val="000000"/>
          <w:sz w:val="20"/>
          <w:szCs w:val="20"/>
          <w:lang w:val="en-US"/>
        </w:rPr>
        <w:t>.</w:t>
      </w:r>
      <w:proofErr w:type="gramEnd"/>
      <w:r w:rsidRPr="00927D2C">
        <w:rPr>
          <w:rFonts w:ascii="Palatino Linotype" w:eastAsia="Palatino Linotype" w:hAnsi="Palatino Linotype" w:cs="Palatino Linotype"/>
          <w:color w:val="000000"/>
          <w:sz w:val="20"/>
          <w:szCs w:val="20"/>
          <w:lang w:val="en-US"/>
        </w:rPr>
        <w:t xml:space="preserve"> </w:t>
      </w:r>
      <w:r w:rsidRPr="00643064">
        <w:rPr>
          <w:rFonts w:ascii="Palatino Linotype" w:eastAsia="Palatino Linotype" w:hAnsi="Palatino Linotype" w:cs="Palatino Linotype"/>
          <w:color w:val="000000"/>
          <w:sz w:val="20"/>
          <w:szCs w:val="20"/>
        </w:rPr>
        <w:t xml:space="preserve">19th ed. Washington: </w:t>
      </w:r>
      <w:proofErr w:type="gramStart"/>
      <w:r w:rsidRPr="00643064">
        <w:rPr>
          <w:rFonts w:ascii="Palatino Linotype" w:eastAsia="Palatino Linotype" w:hAnsi="Palatino Linotype" w:cs="Palatino Linotype"/>
          <w:color w:val="000000"/>
          <w:sz w:val="20"/>
          <w:szCs w:val="20"/>
        </w:rPr>
        <w:t>APHA;</w:t>
      </w:r>
      <w:proofErr w:type="gramEnd"/>
      <w:r w:rsidRPr="00643064">
        <w:rPr>
          <w:rFonts w:ascii="Palatino Linotype" w:eastAsia="Palatino Linotype" w:hAnsi="Palatino Linotype" w:cs="Palatino Linotype"/>
          <w:color w:val="000000"/>
          <w:sz w:val="20"/>
          <w:szCs w:val="20"/>
        </w:rPr>
        <w:t>1995.</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BRANCO, S. M.; ROCHA, A. A. </w:t>
      </w:r>
      <w:r w:rsidRPr="00643064">
        <w:rPr>
          <w:rFonts w:ascii="Palatino Linotype" w:eastAsia="Palatino Linotype" w:hAnsi="Palatino Linotype" w:cs="Palatino Linotype"/>
          <w:b/>
          <w:color w:val="000000"/>
          <w:sz w:val="20"/>
          <w:szCs w:val="20"/>
        </w:rPr>
        <w:t>Poluição, proteção e usos múltiplos de represas</w:t>
      </w:r>
      <w:r w:rsidRPr="00643064">
        <w:rPr>
          <w:rFonts w:ascii="Palatino Linotype" w:eastAsia="Palatino Linotype" w:hAnsi="Palatino Linotype" w:cs="Palatino Linotype"/>
          <w:color w:val="000000"/>
          <w:sz w:val="20"/>
          <w:szCs w:val="20"/>
        </w:rPr>
        <w:t>. São Paulo: Edgard Blucher; CETESB; 1977.</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CARVALHO, N. O. </w:t>
      </w:r>
      <w:r w:rsidRPr="00643064">
        <w:rPr>
          <w:rFonts w:ascii="Palatino Linotype" w:eastAsia="Palatino Linotype" w:hAnsi="Palatino Linotype" w:cs="Palatino Linotype"/>
          <w:b/>
          <w:color w:val="000000"/>
          <w:sz w:val="20"/>
          <w:szCs w:val="20"/>
        </w:rPr>
        <w:t>Hidrossedimentologia prática</w:t>
      </w:r>
      <w:r w:rsidRPr="00643064">
        <w:rPr>
          <w:rFonts w:ascii="Palatino Linotype" w:eastAsia="Palatino Linotype" w:hAnsi="Palatino Linotype" w:cs="Palatino Linotype"/>
          <w:color w:val="000000"/>
          <w:sz w:val="20"/>
          <w:szCs w:val="20"/>
        </w:rPr>
        <w:t xml:space="preserve">. </w:t>
      </w:r>
      <w:proofErr w:type="gramStart"/>
      <w:r w:rsidRPr="00643064">
        <w:rPr>
          <w:rFonts w:ascii="Palatino Linotype" w:eastAsia="Palatino Linotype" w:hAnsi="Palatino Linotype" w:cs="Palatino Linotype"/>
          <w:color w:val="000000"/>
          <w:sz w:val="20"/>
          <w:szCs w:val="20"/>
        </w:rPr>
        <w:t>2.</w:t>
      </w:r>
      <w:proofErr w:type="gramEnd"/>
      <w:r w:rsidRPr="00643064">
        <w:rPr>
          <w:rFonts w:ascii="Palatino Linotype" w:eastAsia="Palatino Linotype" w:hAnsi="Palatino Linotype" w:cs="Palatino Linotype"/>
          <w:color w:val="000000"/>
          <w:sz w:val="20"/>
          <w:szCs w:val="20"/>
        </w:rPr>
        <w:t>ed. Rio de Janeiro: Interciência; 2008.</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 xml:space="preserve">COLBY, B. R. Relationship of unmeasured sediment discharge to mean velocity. </w:t>
      </w:r>
      <w:proofErr w:type="gramStart"/>
      <w:r w:rsidRPr="00927D2C">
        <w:rPr>
          <w:rFonts w:ascii="Palatino Linotype" w:eastAsia="Palatino Linotype" w:hAnsi="Palatino Linotype" w:cs="Palatino Linotype"/>
          <w:b/>
          <w:color w:val="000000"/>
          <w:sz w:val="20"/>
          <w:szCs w:val="20"/>
          <w:lang w:val="en-US"/>
        </w:rPr>
        <w:t>Transactions, American Geophysical Union</w:t>
      </w:r>
      <w:r w:rsidRPr="00927D2C">
        <w:rPr>
          <w:rFonts w:ascii="Palatino Linotype" w:eastAsia="Palatino Linotype" w:hAnsi="Palatino Linotype" w:cs="Palatino Linotype"/>
          <w:color w:val="000000"/>
          <w:sz w:val="20"/>
          <w:szCs w:val="20"/>
          <w:lang w:val="en-US"/>
        </w:rPr>
        <w:t>.</w:t>
      </w:r>
      <w:proofErr w:type="gramEnd"/>
      <w:r w:rsidRPr="00927D2C">
        <w:rPr>
          <w:rFonts w:ascii="Palatino Linotype" w:eastAsia="Palatino Linotype" w:hAnsi="Palatino Linotype" w:cs="Palatino Linotype"/>
          <w:color w:val="000000"/>
          <w:sz w:val="20"/>
          <w:szCs w:val="20"/>
          <w:lang w:val="en-US"/>
        </w:rPr>
        <w:t xml:space="preserve"> 1957</w:t>
      </w:r>
      <w:proofErr w:type="gramStart"/>
      <w:r w:rsidRPr="00927D2C">
        <w:rPr>
          <w:rFonts w:ascii="Palatino Linotype" w:eastAsia="Palatino Linotype" w:hAnsi="Palatino Linotype" w:cs="Palatino Linotype"/>
          <w:color w:val="000000"/>
          <w:sz w:val="20"/>
          <w:szCs w:val="20"/>
          <w:lang w:val="en-US"/>
        </w:rPr>
        <w:t>,38</w:t>
      </w:r>
      <w:proofErr w:type="gramEnd"/>
      <w:r w:rsidRPr="00927D2C">
        <w:rPr>
          <w:rFonts w:ascii="Palatino Linotype" w:eastAsia="Palatino Linotype" w:hAnsi="Palatino Linotype" w:cs="Palatino Linotype"/>
          <w:color w:val="000000"/>
          <w:sz w:val="20"/>
          <w:szCs w:val="20"/>
          <w:lang w:val="en-US"/>
        </w:rPr>
        <w:t>(5):708-717.</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proofErr w:type="gramStart"/>
      <w:r w:rsidRPr="00927D2C">
        <w:rPr>
          <w:rFonts w:ascii="Palatino Linotype" w:eastAsia="Palatino Linotype" w:hAnsi="Palatino Linotype" w:cs="Palatino Linotype"/>
          <w:color w:val="000000"/>
          <w:sz w:val="20"/>
          <w:szCs w:val="20"/>
          <w:lang w:val="en-US"/>
        </w:rPr>
        <w:t xml:space="preserve">COLBY, B. R.; HEMBREE, C. H. </w:t>
      </w:r>
      <w:r w:rsidRPr="00927D2C">
        <w:rPr>
          <w:rFonts w:ascii="Palatino Linotype" w:eastAsia="Palatino Linotype" w:hAnsi="Palatino Linotype" w:cs="Palatino Linotype"/>
          <w:b/>
          <w:color w:val="000000"/>
          <w:sz w:val="20"/>
          <w:szCs w:val="20"/>
          <w:lang w:val="en-US"/>
        </w:rPr>
        <w:t>Computations of total sediment discharge Niobrara River near Cody, Nebraska</w:t>
      </w:r>
      <w:r w:rsidRPr="00927D2C">
        <w:rPr>
          <w:rFonts w:ascii="Palatino Linotype" w:eastAsia="Palatino Linotype" w:hAnsi="Palatino Linotype" w:cs="Palatino Linotype"/>
          <w:color w:val="000000"/>
          <w:sz w:val="20"/>
          <w:szCs w:val="20"/>
          <w:lang w:val="en-US"/>
        </w:rPr>
        <w:t>.</w:t>
      </w:r>
      <w:proofErr w:type="gramEnd"/>
      <w:r w:rsidRPr="00927D2C">
        <w:rPr>
          <w:rFonts w:ascii="Palatino Linotype" w:eastAsia="Palatino Linotype" w:hAnsi="Palatino Linotype" w:cs="Palatino Linotype"/>
          <w:color w:val="000000"/>
          <w:sz w:val="20"/>
          <w:szCs w:val="20"/>
          <w:lang w:val="en-US"/>
        </w:rPr>
        <w:t xml:space="preserve"> </w:t>
      </w:r>
      <w:r w:rsidRPr="00643064">
        <w:rPr>
          <w:rFonts w:ascii="Palatino Linotype" w:eastAsia="Palatino Linotype" w:hAnsi="Palatino Linotype" w:cs="Palatino Linotype"/>
          <w:color w:val="000000"/>
          <w:sz w:val="20"/>
          <w:szCs w:val="20"/>
        </w:rPr>
        <w:t>Washington: United States Government Printing Office; 1955.</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643064">
        <w:rPr>
          <w:rFonts w:ascii="Palatino Linotype" w:eastAsia="Palatino Linotype" w:hAnsi="Palatino Linotype" w:cs="Palatino Linotype"/>
          <w:color w:val="000000"/>
          <w:sz w:val="20"/>
          <w:szCs w:val="20"/>
        </w:rPr>
        <w:t xml:space="preserve">COMITÊ DA BACIA HIDROGRÁFICA DO RIO MOGI-GUAÇU (CBH-MOGI). </w:t>
      </w:r>
      <w:r w:rsidRPr="00643064">
        <w:rPr>
          <w:rFonts w:ascii="Palatino Linotype" w:eastAsia="Palatino Linotype" w:hAnsi="Palatino Linotype" w:cs="Palatino Linotype"/>
          <w:b/>
          <w:color w:val="000000"/>
          <w:sz w:val="20"/>
          <w:szCs w:val="20"/>
        </w:rPr>
        <w:t>Plano da bacia hidrográfica 2008-2011</w:t>
      </w:r>
      <w:r w:rsidRPr="00643064">
        <w:rPr>
          <w:rFonts w:ascii="Palatino Linotype" w:eastAsia="Palatino Linotype" w:hAnsi="Palatino Linotype" w:cs="Palatino Linotype"/>
          <w:color w:val="000000"/>
          <w:sz w:val="20"/>
          <w:szCs w:val="20"/>
        </w:rPr>
        <w:t xml:space="preserve">. </w:t>
      </w:r>
      <w:r w:rsidRPr="00927D2C">
        <w:rPr>
          <w:rFonts w:ascii="Palatino Linotype" w:eastAsia="Palatino Linotype" w:hAnsi="Palatino Linotype" w:cs="Palatino Linotype"/>
          <w:color w:val="000000"/>
          <w:sz w:val="20"/>
          <w:szCs w:val="20"/>
          <w:lang w:val="en-US"/>
        </w:rPr>
        <w:t>São Paulo: CBH Mogi; 2008.</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927D2C">
        <w:rPr>
          <w:rFonts w:ascii="Palatino Linotype" w:eastAsia="Palatino Linotype" w:hAnsi="Palatino Linotype" w:cs="Palatino Linotype"/>
          <w:color w:val="000000"/>
          <w:sz w:val="20"/>
          <w:szCs w:val="20"/>
          <w:lang w:val="en-US"/>
        </w:rPr>
        <w:lastRenderedPageBreak/>
        <w:t xml:space="preserve">CURTIS, W. F.; CULBERTSON, J. K.; CHASE, E. B. </w:t>
      </w:r>
      <w:r w:rsidRPr="00927D2C">
        <w:rPr>
          <w:rFonts w:ascii="Palatino Linotype" w:eastAsia="Palatino Linotype" w:hAnsi="Palatino Linotype" w:cs="Palatino Linotype"/>
          <w:b/>
          <w:color w:val="000000"/>
          <w:sz w:val="20"/>
          <w:szCs w:val="20"/>
          <w:lang w:val="en-US"/>
        </w:rPr>
        <w:t>Fluvial-sediment discharge to the oceans from the conterminous United States</w:t>
      </w:r>
      <w:r w:rsidRPr="00927D2C">
        <w:rPr>
          <w:rFonts w:ascii="Palatino Linotype" w:eastAsia="Palatino Linotype" w:hAnsi="Palatino Linotype" w:cs="Palatino Linotype"/>
          <w:color w:val="000000"/>
          <w:sz w:val="20"/>
          <w:szCs w:val="20"/>
          <w:lang w:val="en-US"/>
        </w:rPr>
        <w:t xml:space="preserve">: geological survey circular 670. </w:t>
      </w:r>
      <w:r w:rsidRPr="00643064">
        <w:rPr>
          <w:rFonts w:ascii="Palatino Linotype" w:eastAsia="Palatino Linotype" w:hAnsi="Palatino Linotype" w:cs="Palatino Linotype"/>
          <w:color w:val="000000"/>
          <w:sz w:val="20"/>
          <w:szCs w:val="20"/>
        </w:rPr>
        <w:t xml:space="preserve">Washington: Department of the Interior; U. S. Geological </w:t>
      </w:r>
      <w:proofErr w:type="gramStart"/>
      <w:r w:rsidRPr="00643064">
        <w:rPr>
          <w:rFonts w:ascii="Palatino Linotype" w:eastAsia="Palatino Linotype" w:hAnsi="Palatino Linotype" w:cs="Palatino Linotype"/>
          <w:color w:val="000000"/>
          <w:sz w:val="20"/>
          <w:szCs w:val="20"/>
        </w:rPr>
        <w:t>Survey;</w:t>
      </w:r>
      <w:proofErr w:type="gramEnd"/>
      <w:r w:rsidRPr="00643064">
        <w:rPr>
          <w:rFonts w:ascii="Palatino Linotype" w:eastAsia="Palatino Linotype" w:hAnsi="Palatino Linotype" w:cs="Palatino Linotype"/>
          <w:color w:val="000000"/>
          <w:sz w:val="20"/>
          <w:szCs w:val="20"/>
        </w:rPr>
        <w:t>1973.</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FUNDAÇÃO PARA O INCREMENTO DA PESQUISA E DO APERFEIÇOAMENTO INDUSTRIAL. </w:t>
      </w:r>
      <w:r w:rsidRPr="00643064">
        <w:rPr>
          <w:rFonts w:ascii="Palatino Linotype" w:eastAsia="Palatino Linotype" w:hAnsi="Palatino Linotype" w:cs="Palatino Linotype"/>
          <w:b/>
          <w:color w:val="000000"/>
          <w:sz w:val="20"/>
          <w:szCs w:val="20"/>
        </w:rPr>
        <w:t>Desenvolvimento, validação e aplicação de um modelo tridimensional de transporte de sedimentos em reservatório aplicado ao cálculo e elaboração de projeções futuras de geração hidrelétrica</w:t>
      </w:r>
      <w:r w:rsidRPr="00643064">
        <w:rPr>
          <w:rFonts w:ascii="Palatino Linotype" w:eastAsia="Palatino Linotype" w:hAnsi="Palatino Linotype" w:cs="Palatino Linotype"/>
          <w:color w:val="000000"/>
          <w:sz w:val="20"/>
          <w:szCs w:val="20"/>
        </w:rPr>
        <w:t xml:space="preserve">. São </w:t>
      </w:r>
      <w:proofErr w:type="gramStart"/>
      <w:r w:rsidRPr="00643064">
        <w:rPr>
          <w:rFonts w:ascii="Palatino Linotype" w:eastAsia="Palatino Linotype" w:hAnsi="Palatino Linotype" w:cs="Palatino Linotype"/>
          <w:color w:val="000000"/>
          <w:sz w:val="20"/>
          <w:szCs w:val="20"/>
        </w:rPr>
        <w:t>Carlos;</w:t>
      </w:r>
      <w:proofErr w:type="gramEnd"/>
      <w:r w:rsidRPr="00643064">
        <w:rPr>
          <w:rFonts w:ascii="Palatino Linotype" w:eastAsia="Palatino Linotype" w:hAnsi="Palatino Linotype" w:cs="Palatino Linotype"/>
          <w:color w:val="000000"/>
          <w:sz w:val="20"/>
          <w:szCs w:val="20"/>
        </w:rPr>
        <w:t>2015 (Relatório de projeto P&amp;D).</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4935E6">
        <w:rPr>
          <w:rFonts w:ascii="Palatino Linotype" w:eastAsia="Palatino Linotype" w:hAnsi="Palatino Linotype" w:cs="Palatino Linotype"/>
          <w:color w:val="000000"/>
          <w:sz w:val="20"/>
          <w:szCs w:val="20"/>
        </w:rPr>
        <w:t>GOLTERMAN, H. L.; SLY, P. G.; THOMAS, R. L.</w:t>
      </w:r>
      <w:proofErr w:type="gramStart"/>
      <w:r w:rsidRPr="004935E6">
        <w:rPr>
          <w:rFonts w:ascii="Palatino Linotype" w:eastAsia="Palatino Linotype" w:hAnsi="Palatino Linotype" w:cs="Palatino Linotype"/>
          <w:color w:val="000000"/>
          <w:sz w:val="20"/>
          <w:szCs w:val="20"/>
        </w:rPr>
        <w:t xml:space="preserve">  </w:t>
      </w:r>
      <w:proofErr w:type="gramEnd"/>
      <w:r w:rsidRPr="00927D2C">
        <w:rPr>
          <w:rFonts w:ascii="Palatino Linotype" w:eastAsia="Palatino Linotype" w:hAnsi="Palatino Linotype" w:cs="Palatino Linotype"/>
          <w:b/>
          <w:color w:val="000000"/>
          <w:sz w:val="20"/>
          <w:szCs w:val="20"/>
          <w:lang w:val="en-US"/>
        </w:rPr>
        <w:t>Study of the relationship between water quality and sediment transport</w:t>
      </w:r>
      <w:r w:rsidRPr="00927D2C">
        <w:rPr>
          <w:rFonts w:ascii="Palatino Linotype" w:eastAsia="Palatino Linotype" w:hAnsi="Palatino Linotype" w:cs="Palatino Linotype"/>
          <w:color w:val="000000"/>
          <w:sz w:val="20"/>
          <w:szCs w:val="20"/>
          <w:lang w:val="en-US"/>
        </w:rPr>
        <w:t xml:space="preserve">. Paris: UNESCO; 1983. </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927D2C">
        <w:rPr>
          <w:rFonts w:ascii="Palatino Linotype" w:eastAsia="Palatino Linotype" w:hAnsi="Palatino Linotype" w:cs="Palatino Linotype"/>
          <w:color w:val="000000"/>
          <w:sz w:val="20"/>
          <w:szCs w:val="20"/>
          <w:lang w:val="en-US"/>
        </w:rPr>
        <w:t xml:space="preserve">HOLEMAN, J. N. </w:t>
      </w:r>
      <w:proofErr w:type="gramStart"/>
      <w:r w:rsidRPr="00927D2C">
        <w:rPr>
          <w:rFonts w:ascii="Palatino Linotype" w:eastAsia="Palatino Linotype" w:hAnsi="Palatino Linotype" w:cs="Palatino Linotype"/>
          <w:color w:val="000000"/>
          <w:sz w:val="20"/>
          <w:szCs w:val="20"/>
          <w:lang w:val="en-US"/>
        </w:rPr>
        <w:t>The Sediment yield of major rivers of the world.</w:t>
      </w:r>
      <w:proofErr w:type="gramEnd"/>
      <w:r w:rsidRPr="00927D2C">
        <w:rPr>
          <w:rFonts w:ascii="Palatino Linotype" w:eastAsia="Palatino Linotype" w:hAnsi="Palatino Linotype" w:cs="Palatino Linotype"/>
          <w:color w:val="000000"/>
          <w:sz w:val="20"/>
          <w:szCs w:val="20"/>
          <w:lang w:val="en-US"/>
        </w:rPr>
        <w:t xml:space="preserve"> </w:t>
      </w:r>
      <w:r w:rsidRPr="00643064">
        <w:rPr>
          <w:rFonts w:ascii="Palatino Linotype" w:eastAsia="Palatino Linotype" w:hAnsi="Palatino Linotype" w:cs="Palatino Linotype"/>
          <w:b/>
          <w:color w:val="000000"/>
          <w:sz w:val="20"/>
          <w:szCs w:val="20"/>
        </w:rPr>
        <w:t>Water Resources Research</w:t>
      </w:r>
      <w:r w:rsidRPr="00643064">
        <w:rPr>
          <w:rFonts w:ascii="Palatino Linotype" w:eastAsia="Palatino Linotype" w:hAnsi="Palatino Linotype" w:cs="Palatino Linotype"/>
          <w:color w:val="000000"/>
          <w:sz w:val="20"/>
          <w:szCs w:val="20"/>
        </w:rPr>
        <w:t>. 1968,4(4): 737-747.</w:t>
      </w:r>
    </w:p>
    <w:p w:rsidR="00797A6E" w:rsidRPr="00A4192E"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LIMA, J. E. F. W</w:t>
      </w:r>
      <w:proofErr w:type="gramStart"/>
      <w:r w:rsidRPr="00643064">
        <w:rPr>
          <w:rFonts w:ascii="Palatino Linotype" w:eastAsia="Palatino Linotype" w:hAnsi="Palatino Linotype" w:cs="Palatino Linotype"/>
          <w:color w:val="000000"/>
          <w:sz w:val="20"/>
          <w:szCs w:val="20"/>
        </w:rPr>
        <w:t>.;</w:t>
      </w:r>
      <w:proofErr w:type="gramEnd"/>
      <w:r w:rsidRPr="00643064">
        <w:rPr>
          <w:rFonts w:ascii="Palatino Linotype" w:eastAsia="Palatino Linotype" w:hAnsi="Palatino Linotype" w:cs="Palatino Linotype"/>
          <w:color w:val="000000"/>
          <w:sz w:val="20"/>
          <w:szCs w:val="20"/>
        </w:rPr>
        <w:t xml:space="preserve"> SILVA, E. M. Seleção de modelos para o traçado de curvas granulométricas de sedimentos em suspensão em rios. </w:t>
      </w:r>
      <w:r w:rsidRPr="00A4192E">
        <w:rPr>
          <w:rFonts w:ascii="Palatino Linotype" w:eastAsia="Palatino Linotype" w:hAnsi="Palatino Linotype" w:cs="Palatino Linotype"/>
          <w:b/>
          <w:color w:val="000000"/>
          <w:sz w:val="20"/>
          <w:szCs w:val="20"/>
        </w:rPr>
        <w:t>Revista Brasileira de Engenharia Agrícola e Ambiental</w:t>
      </w:r>
      <w:r w:rsidRPr="00A4192E">
        <w:rPr>
          <w:rFonts w:ascii="Palatino Linotype" w:eastAsia="Palatino Linotype" w:hAnsi="Palatino Linotype" w:cs="Palatino Linotype"/>
          <w:color w:val="000000"/>
          <w:sz w:val="20"/>
          <w:szCs w:val="20"/>
        </w:rPr>
        <w:t xml:space="preserve">. 2007, </w:t>
      </w:r>
      <w:proofErr w:type="gramStart"/>
      <w:r w:rsidRPr="00A4192E">
        <w:rPr>
          <w:rFonts w:ascii="Palatino Linotype" w:eastAsia="Palatino Linotype" w:hAnsi="Palatino Linotype" w:cs="Palatino Linotype"/>
          <w:color w:val="000000"/>
          <w:sz w:val="20"/>
          <w:szCs w:val="20"/>
        </w:rPr>
        <w:t>11(1):</w:t>
      </w:r>
      <w:proofErr w:type="gramEnd"/>
      <w:r w:rsidRPr="00A4192E">
        <w:rPr>
          <w:rFonts w:ascii="Palatino Linotype" w:eastAsia="Palatino Linotype" w:hAnsi="Palatino Linotype" w:cs="Palatino Linotype"/>
          <w:color w:val="000000"/>
          <w:sz w:val="20"/>
          <w:szCs w:val="20"/>
        </w:rPr>
        <w:t>101-107.</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MIRANDA, R. B. </w:t>
      </w:r>
      <w:r w:rsidRPr="00643064">
        <w:rPr>
          <w:rFonts w:ascii="Palatino Linotype" w:eastAsia="Palatino Linotype" w:hAnsi="Palatino Linotype" w:cs="Palatino Linotype"/>
          <w:b/>
          <w:color w:val="000000"/>
          <w:sz w:val="20"/>
          <w:szCs w:val="20"/>
        </w:rPr>
        <w:t>Ferramenta computacional para a estimativa de parâmetros hidrossedimentológi</w:t>
      </w:r>
      <w:r w:rsidR="00A4192E">
        <w:rPr>
          <w:rFonts w:ascii="Palatino Linotype" w:eastAsia="Palatino Linotype" w:hAnsi="Palatino Linotype" w:cs="Palatino Linotype"/>
          <w:b/>
          <w:color w:val="000000"/>
          <w:sz w:val="20"/>
          <w:szCs w:val="20"/>
        </w:rPr>
        <w:t>c</w:t>
      </w:r>
      <w:r w:rsidRPr="00643064">
        <w:rPr>
          <w:rFonts w:ascii="Palatino Linotype" w:eastAsia="Palatino Linotype" w:hAnsi="Palatino Linotype" w:cs="Palatino Linotype"/>
          <w:b/>
          <w:color w:val="000000"/>
          <w:sz w:val="20"/>
          <w:szCs w:val="20"/>
        </w:rPr>
        <w:t>os em reservatório:</w:t>
      </w:r>
      <w:r w:rsidRPr="00643064">
        <w:rPr>
          <w:rFonts w:ascii="Palatino Linotype" w:eastAsia="Palatino Linotype" w:hAnsi="Palatino Linotype" w:cs="Palatino Linotype"/>
          <w:color w:val="000000"/>
          <w:sz w:val="20"/>
          <w:szCs w:val="20"/>
        </w:rPr>
        <w:t xml:space="preserve"> estudo de caso da PCH Mogi-Guaçu (SP) [thesis]. São Carlos: Escola de Engenharia de São Carlos/</w:t>
      </w:r>
      <w:proofErr w:type="gramStart"/>
      <w:r w:rsidRPr="00643064">
        <w:rPr>
          <w:rFonts w:ascii="Palatino Linotype" w:eastAsia="Palatino Linotype" w:hAnsi="Palatino Linotype" w:cs="Palatino Linotype"/>
          <w:color w:val="000000"/>
          <w:sz w:val="20"/>
          <w:szCs w:val="20"/>
        </w:rPr>
        <w:t>USP;</w:t>
      </w:r>
      <w:proofErr w:type="gramEnd"/>
      <w:r w:rsidRPr="00643064">
        <w:rPr>
          <w:rFonts w:ascii="Palatino Linotype" w:eastAsia="Palatino Linotype" w:hAnsi="Palatino Linotype" w:cs="Palatino Linotype"/>
          <w:color w:val="000000"/>
          <w:sz w:val="20"/>
          <w:szCs w:val="20"/>
        </w:rPr>
        <w:t xml:space="preserve">2015.226p. </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 xml:space="preserve">MITCHELL, M. et al. Software Engauge digitizer: version 10.11. 2018 [cited 2018 </w:t>
      </w:r>
      <w:proofErr w:type="gramStart"/>
      <w:r w:rsidRPr="00927D2C">
        <w:rPr>
          <w:rFonts w:ascii="Palatino Linotype" w:eastAsia="Palatino Linotype" w:hAnsi="Palatino Linotype" w:cs="Palatino Linotype"/>
          <w:color w:val="000000"/>
          <w:sz w:val="20"/>
          <w:szCs w:val="20"/>
          <w:lang w:val="en-US"/>
        </w:rPr>
        <w:t>nov</w:t>
      </w:r>
      <w:proofErr w:type="gramEnd"/>
      <w:r w:rsidRPr="00927D2C">
        <w:rPr>
          <w:rFonts w:ascii="Palatino Linotype" w:eastAsia="Palatino Linotype" w:hAnsi="Palatino Linotype" w:cs="Palatino Linotype"/>
          <w:color w:val="000000"/>
          <w:sz w:val="20"/>
          <w:szCs w:val="20"/>
          <w:lang w:val="en-US"/>
        </w:rPr>
        <w:t xml:space="preserve"> 24]. </w:t>
      </w:r>
      <w:proofErr w:type="gramStart"/>
      <w:r w:rsidRPr="00927D2C">
        <w:rPr>
          <w:rFonts w:ascii="Palatino Linotype" w:eastAsia="Palatino Linotype" w:hAnsi="Palatino Linotype" w:cs="Palatino Linotype"/>
          <w:color w:val="000000"/>
          <w:sz w:val="20"/>
          <w:szCs w:val="20"/>
          <w:lang w:val="en-US"/>
        </w:rPr>
        <w:t>Available from https://markummitchell.github.io/engauge-digitizer/.</w:t>
      </w:r>
      <w:proofErr w:type="gramEnd"/>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MULLER, A. C. </w:t>
      </w:r>
      <w:r w:rsidRPr="00643064">
        <w:rPr>
          <w:rFonts w:ascii="Palatino Linotype" w:eastAsia="Palatino Linotype" w:hAnsi="Palatino Linotype" w:cs="Palatino Linotype"/>
          <w:b/>
          <w:color w:val="000000"/>
          <w:sz w:val="20"/>
          <w:szCs w:val="20"/>
        </w:rPr>
        <w:t>Hidrelétricas, meio ambiente e desenvolvimento</w:t>
      </w:r>
      <w:r w:rsidRPr="00643064">
        <w:rPr>
          <w:rFonts w:ascii="Palatino Linotype" w:eastAsia="Palatino Linotype" w:hAnsi="Palatino Linotype" w:cs="Palatino Linotype"/>
          <w:color w:val="000000"/>
          <w:sz w:val="20"/>
          <w:szCs w:val="20"/>
        </w:rPr>
        <w:t>. São Paulo: Makron Books; 1995.</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 xml:space="preserve">PAIVA, J. B. D. </w:t>
      </w:r>
      <w:r w:rsidRPr="00643064">
        <w:rPr>
          <w:rFonts w:ascii="Palatino Linotype" w:eastAsia="Palatino Linotype" w:hAnsi="Palatino Linotype" w:cs="Palatino Linotype"/>
          <w:b/>
          <w:color w:val="000000"/>
          <w:sz w:val="20"/>
          <w:szCs w:val="20"/>
        </w:rPr>
        <w:t>Avaliação dos modelos matemáticos de cálculo do transporte de sedimentos em rios</w:t>
      </w:r>
      <w:r w:rsidRPr="00643064">
        <w:rPr>
          <w:rFonts w:ascii="Palatino Linotype" w:eastAsia="Palatino Linotype" w:hAnsi="Palatino Linotype" w:cs="Palatino Linotype"/>
          <w:color w:val="000000"/>
          <w:sz w:val="20"/>
          <w:szCs w:val="20"/>
        </w:rPr>
        <w:t xml:space="preserve"> [thesis]. São Carlos: Escola de Engenharia de São Carlos/</w:t>
      </w:r>
      <w:proofErr w:type="gramStart"/>
      <w:r w:rsidRPr="00643064">
        <w:rPr>
          <w:rFonts w:ascii="Palatino Linotype" w:eastAsia="Palatino Linotype" w:hAnsi="Palatino Linotype" w:cs="Palatino Linotype"/>
          <w:color w:val="000000"/>
          <w:sz w:val="20"/>
          <w:szCs w:val="20"/>
        </w:rPr>
        <w:t>USP;</w:t>
      </w:r>
      <w:proofErr w:type="gramEnd"/>
      <w:r w:rsidRPr="00643064">
        <w:rPr>
          <w:rFonts w:ascii="Palatino Linotype" w:eastAsia="Palatino Linotype" w:hAnsi="Palatino Linotype" w:cs="Palatino Linotype"/>
          <w:color w:val="000000"/>
          <w:sz w:val="20"/>
          <w:szCs w:val="20"/>
        </w:rPr>
        <w:t>1988.315p.</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643064">
        <w:rPr>
          <w:rFonts w:ascii="Palatino Linotype" w:eastAsia="Palatino Linotype" w:hAnsi="Palatino Linotype" w:cs="Palatino Linotype"/>
          <w:color w:val="000000"/>
          <w:sz w:val="20"/>
          <w:szCs w:val="20"/>
        </w:rPr>
        <w:t xml:space="preserve">PAIVA, J. B. D. Métodos de cálculo do transporte de sedimentos em rios. In: PAIVA, J. B. </w:t>
      </w:r>
      <w:proofErr w:type="gramStart"/>
      <w:r w:rsidRPr="00643064">
        <w:rPr>
          <w:rFonts w:ascii="Palatino Linotype" w:eastAsia="Palatino Linotype" w:hAnsi="Palatino Linotype" w:cs="Palatino Linotype"/>
          <w:color w:val="000000"/>
          <w:sz w:val="20"/>
          <w:szCs w:val="20"/>
        </w:rPr>
        <w:t>D.</w:t>
      </w:r>
      <w:proofErr w:type="gramEnd"/>
      <w:r w:rsidRPr="00643064">
        <w:rPr>
          <w:rFonts w:ascii="Palatino Linotype" w:eastAsia="Palatino Linotype" w:hAnsi="Palatino Linotype" w:cs="Palatino Linotype"/>
          <w:color w:val="000000"/>
          <w:sz w:val="20"/>
          <w:szCs w:val="20"/>
        </w:rPr>
        <w:t xml:space="preserve">; PAIVA, E. M. C. </w:t>
      </w:r>
      <w:proofErr w:type="gramStart"/>
      <w:r w:rsidRPr="00643064">
        <w:rPr>
          <w:rFonts w:ascii="Palatino Linotype" w:eastAsia="Palatino Linotype" w:hAnsi="Palatino Linotype" w:cs="Palatino Linotype"/>
          <w:color w:val="000000"/>
          <w:sz w:val="20"/>
          <w:szCs w:val="20"/>
        </w:rPr>
        <w:t>D.</w:t>
      </w:r>
      <w:proofErr w:type="gramEnd"/>
      <w:r w:rsidRPr="00643064">
        <w:rPr>
          <w:rFonts w:ascii="Palatino Linotype" w:eastAsia="Palatino Linotype" w:hAnsi="Palatino Linotype" w:cs="Palatino Linotype"/>
          <w:color w:val="000000"/>
          <w:sz w:val="20"/>
          <w:szCs w:val="20"/>
        </w:rPr>
        <w:t xml:space="preserve"> (Org.) </w:t>
      </w:r>
      <w:r w:rsidRPr="00643064">
        <w:rPr>
          <w:rFonts w:ascii="Palatino Linotype" w:eastAsia="Palatino Linotype" w:hAnsi="Palatino Linotype" w:cs="Palatino Linotype"/>
          <w:b/>
          <w:color w:val="000000"/>
          <w:sz w:val="20"/>
          <w:szCs w:val="20"/>
        </w:rPr>
        <w:t>Hidrologia aplicada à gestão de pequenas bacias hidrográficas</w:t>
      </w:r>
      <w:r w:rsidRPr="00643064">
        <w:rPr>
          <w:rFonts w:ascii="Palatino Linotype" w:eastAsia="Palatino Linotype" w:hAnsi="Palatino Linotype" w:cs="Palatino Linotype"/>
          <w:color w:val="000000"/>
          <w:sz w:val="20"/>
          <w:szCs w:val="20"/>
        </w:rPr>
        <w:t xml:space="preserve">. </w:t>
      </w:r>
      <w:r w:rsidRPr="00927D2C">
        <w:rPr>
          <w:rFonts w:ascii="Palatino Linotype" w:eastAsia="Palatino Linotype" w:hAnsi="Palatino Linotype" w:cs="Palatino Linotype"/>
          <w:color w:val="000000"/>
          <w:sz w:val="20"/>
          <w:szCs w:val="20"/>
          <w:lang w:val="en-US"/>
        </w:rPr>
        <w:t>Porto Alegre: ABRH; 2001. Cap. 12, p. 313-364.</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proofErr w:type="gramStart"/>
      <w:r w:rsidRPr="00927D2C">
        <w:rPr>
          <w:rFonts w:ascii="Palatino Linotype" w:eastAsia="Palatino Linotype" w:hAnsi="Palatino Linotype" w:cs="Palatino Linotype"/>
          <w:color w:val="000000"/>
          <w:sz w:val="20"/>
          <w:szCs w:val="20"/>
          <w:lang w:val="en-US"/>
        </w:rPr>
        <w:t xml:space="preserve">ROSA, L. H.; BERLING, F. A. </w:t>
      </w:r>
      <w:r w:rsidRPr="00927D2C">
        <w:rPr>
          <w:rFonts w:ascii="Palatino Linotype" w:eastAsia="Palatino Linotype" w:hAnsi="Palatino Linotype" w:cs="Palatino Linotype"/>
          <w:b/>
          <w:color w:val="000000"/>
          <w:sz w:val="20"/>
          <w:szCs w:val="20"/>
          <w:lang w:val="en-US"/>
        </w:rPr>
        <w:t>Software WinTSR.</w:t>
      </w:r>
      <w:proofErr w:type="gramEnd"/>
      <w:r w:rsidRPr="00927D2C">
        <w:rPr>
          <w:rFonts w:ascii="Palatino Linotype" w:eastAsia="Palatino Linotype" w:hAnsi="Palatino Linotype" w:cs="Palatino Linotype"/>
          <w:b/>
          <w:color w:val="000000"/>
          <w:sz w:val="20"/>
          <w:szCs w:val="20"/>
          <w:lang w:val="en-US"/>
        </w:rPr>
        <w:t xml:space="preserve"> </w:t>
      </w:r>
      <w:r w:rsidRPr="00643064">
        <w:rPr>
          <w:rFonts w:ascii="Palatino Linotype" w:eastAsia="Palatino Linotype" w:hAnsi="Palatino Linotype" w:cs="Palatino Linotype"/>
          <w:color w:val="000000"/>
          <w:sz w:val="20"/>
          <w:szCs w:val="20"/>
        </w:rPr>
        <w:t>Santa Maria: Centro de tecnologia. Departamento de Hidráulica e Saneamento; Universidade Federal de Santa Maria; 2002.</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643064">
        <w:rPr>
          <w:rFonts w:ascii="Palatino Linotype" w:eastAsia="Palatino Linotype" w:hAnsi="Palatino Linotype" w:cs="Palatino Linotype"/>
          <w:color w:val="000000"/>
          <w:sz w:val="20"/>
          <w:szCs w:val="20"/>
        </w:rPr>
        <w:t xml:space="preserve">SANTOS, B. B., ALVES SOBRINHO, T.; SOUZA, J. S.; CARVALHO, G. A.; POMPEU, R. M.; COUTO, C. B. Avaliação de métodos de estimativas de descarga sólida de leito em rios. In: POLETO, C.; PLETSCH, A. L.; MELLO, E. L.; CARVALHO, N. O. (Org.) </w:t>
      </w:r>
      <w:r w:rsidRPr="00643064">
        <w:rPr>
          <w:rFonts w:ascii="Palatino Linotype" w:eastAsia="Palatino Linotype" w:hAnsi="Palatino Linotype" w:cs="Palatino Linotype"/>
          <w:b/>
          <w:color w:val="000000"/>
          <w:sz w:val="20"/>
          <w:szCs w:val="20"/>
        </w:rPr>
        <w:t>X Encontro Nacional de Engenharia de Sedimentos:</w:t>
      </w:r>
      <w:r w:rsidRPr="00643064">
        <w:rPr>
          <w:rFonts w:ascii="Palatino Linotype" w:eastAsia="Palatino Linotype" w:hAnsi="Palatino Linotype" w:cs="Palatino Linotype"/>
          <w:color w:val="000000"/>
          <w:sz w:val="20"/>
          <w:szCs w:val="20"/>
        </w:rPr>
        <w:t xml:space="preserve"> artigos selecionados. </w:t>
      </w:r>
      <w:r w:rsidRPr="00927D2C">
        <w:rPr>
          <w:rFonts w:ascii="Palatino Linotype" w:eastAsia="Palatino Linotype" w:hAnsi="Palatino Linotype" w:cs="Palatino Linotype"/>
          <w:color w:val="000000"/>
          <w:sz w:val="20"/>
          <w:szCs w:val="20"/>
          <w:lang w:val="en-US"/>
        </w:rPr>
        <w:t>Porto Alegre: ABRH; 2012. Cap. 26, p. 345-355.</w:t>
      </w:r>
    </w:p>
    <w:p w:rsidR="00797A6E" w:rsidRPr="00643064" w:rsidRDefault="000D7BD9" w:rsidP="00304143">
      <w:pPr>
        <w:pBdr>
          <w:top w:val="nil"/>
          <w:left w:val="nil"/>
          <w:bottom w:val="nil"/>
          <w:right w:val="nil"/>
          <w:between w:val="nil"/>
        </w:pBdr>
        <w:spacing w:before="120" w:after="120"/>
        <w:rPr>
          <w:rFonts w:ascii="Palatino Linotype" w:eastAsia="Palatino Linotype" w:hAnsi="Palatino Linotype" w:cs="Palatino Linotype"/>
          <w:color w:val="000000"/>
          <w:sz w:val="20"/>
          <w:szCs w:val="20"/>
        </w:rPr>
      </w:pPr>
      <w:r w:rsidRPr="00927D2C">
        <w:rPr>
          <w:rFonts w:ascii="Palatino Linotype" w:eastAsia="Palatino Linotype" w:hAnsi="Palatino Linotype" w:cs="Palatino Linotype"/>
          <w:color w:val="000000"/>
          <w:sz w:val="20"/>
          <w:szCs w:val="20"/>
          <w:lang w:val="en-US"/>
        </w:rPr>
        <w:t xml:space="preserve">SANTOS, B. B.; MIRANDA, R. B.; ESTIGONI, M. V.; VILLELA, J. M.; MAUAD, F. F. Evaluation of the laser diffraction method for the measurement of suspended sediment concentration in Mogi-Guaçu reservoir (São Paulo, Brazil). </w:t>
      </w:r>
      <w:r w:rsidRPr="00643064">
        <w:rPr>
          <w:rFonts w:ascii="Palatino Linotype" w:eastAsia="Palatino Linotype" w:hAnsi="Palatino Linotype" w:cs="Palatino Linotype"/>
          <w:b/>
          <w:color w:val="000000"/>
          <w:sz w:val="20"/>
          <w:szCs w:val="20"/>
        </w:rPr>
        <w:t>International Journal of River Basin Management</w:t>
      </w:r>
      <w:r w:rsidRPr="00643064">
        <w:rPr>
          <w:rFonts w:ascii="Palatino Linotype" w:eastAsia="Palatino Linotype" w:hAnsi="Palatino Linotype" w:cs="Palatino Linotype"/>
          <w:color w:val="000000"/>
          <w:sz w:val="20"/>
          <w:szCs w:val="20"/>
        </w:rPr>
        <w:t>. 2018,17(1</w:t>
      </w:r>
      <w:proofErr w:type="gramStart"/>
      <w:r w:rsidRPr="00643064">
        <w:rPr>
          <w:rFonts w:ascii="Palatino Linotype" w:eastAsia="Palatino Linotype" w:hAnsi="Palatino Linotype" w:cs="Palatino Linotype"/>
          <w:color w:val="000000"/>
          <w:sz w:val="20"/>
          <w:szCs w:val="20"/>
        </w:rPr>
        <w:t>):</w:t>
      </w:r>
      <w:proofErr w:type="gramEnd"/>
      <w:r w:rsidRPr="00643064">
        <w:rPr>
          <w:rFonts w:ascii="Palatino Linotype" w:eastAsia="Palatino Linotype" w:hAnsi="Palatino Linotype" w:cs="Palatino Linotype"/>
          <w:color w:val="000000"/>
          <w:sz w:val="20"/>
          <w:szCs w:val="20"/>
        </w:rPr>
        <w:t>89-99.</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SCAPIN, J</w:t>
      </w:r>
      <w:proofErr w:type="gramStart"/>
      <w:r w:rsidRPr="00643064">
        <w:rPr>
          <w:rFonts w:ascii="Palatino Linotype" w:eastAsia="Palatino Linotype" w:hAnsi="Palatino Linotype" w:cs="Palatino Linotype"/>
          <w:color w:val="000000"/>
          <w:sz w:val="20"/>
          <w:szCs w:val="20"/>
        </w:rPr>
        <w:t>.;</w:t>
      </w:r>
      <w:proofErr w:type="gramEnd"/>
      <w:r w:rsidRPr="00643064">
        <w:rPr>
          <w:rFonts w:ascii="Palatino Linotype" w:eastAsia="Palatino Linotype" w:hAnsi="Palatino Linotype" w:cs="Palatino Linotype"/>
          <w:color w:val="000000"/>
          <w:sz w:val="20"/>
          <w:szCs w:val="20"/>
        </w:rPr>
        <w:t xml:space="preserve"> PAIVA, J. B. D. </w:t>
      </w:r>
      <w:proofErr w:type="gramStart"/>
      <w:r w:rsidRPr="00643064">
        <w:rPr>
          <w:rFonts w:ascii="Palatino Linotype" w:eastAsia="Palatino Linotype" w:hAnsi="Palatino Linotype" w:cs="Palatino Linotype"/>
          <w:color w:val="000000"/>
          <w:sz w:val="20"/>
          <w:szCs w:val="20"/>
        </w:rPr>
        <w:t>D.</w:t>
      </w:r>
      <w:proofErr w:type="gramEnd"/>
      <w:r w:rsidRPr="00643064">
        <w:rPr>
          <w:rFonts w:ascii="Palatino Linotype" w:eastAsia="Palatino Linotype" w:hAnsi="Palatino Linotype" w:cs="Palatino Linotype"/>
          <w:color w:val="000000"/>
          <w:sz w:val="20"/>
          <w:szCs w:val="20"/>
        </w:rPr>
        <w:t xml:space="preserve">; BELING, F. A. Avaliação de métodos de cálculo do transporte de sedimentos. </w:t>
      </w:r>
      <w:r w:rsidRPr="00643064">
        <w:rPr>
          <w:rFonts w:ascii="Palatino Linotype" w:eastAsia="Palatino Linotype" w:hAnsi="Palatino Linotype" w:cs="Palatino Linotype"/>
          <w:b/>
          <w:color w:val="000000"/>
          <w:sz w:val="20"/>
          <w:szCs w:val="20"/>
        </w:rPr>
        <w:t>Revista Brasileira de Recursos Hídricos</w:t>
      </w:r>
      <w:r w:rsidRPr="00643064">
        <w:rPr>
          <w:rFonts w:ascii="Palatino Linotype" w:eastAsia="Palatino Linotype" w:hAnsi="Palatino Linotype" w:cs="Palatino Linotype"/>
          <w:color w:val="000000"/>
          <w:sz w:val="20"/>
          <w:szCs w:val="20"/>
        </w:rPr>
        <w:t>. 2007,12(4</w:t>
      </w:r>
      <w:proofErr w:type="gramStart"/>
      <w:r w:rsidRPr="00643064">
        <w:rPr>
          <w:rFonts w:ascii="Palatino Linotype" w:eastAsia="Palatino Linotype" w:hAnsi="Palatino Linotype" w:cs="Palatino Linotype"/>
          <w:color w:val="000000"/>
          <w:sz w:val="20"/>
          <w:szCs w:val="20"/>
        </w:rPr>
        <w:t>):</w:t>
      </w:r>
      <w:proofErr w:type="gramEnd"/>
      <w:r w:rsidRPr="00643064">
        <w:rPr>
          <w:rFonts w:ascii="Palatino Linotype" w:eastAsia="Palatino Linotype" w:hAnsi="Palatino Linotype" w:cs="Palatino Linotype"/>
          <w:color w:val="000000"/>
          <w:sz w:val="20"/>
          <w:szCs w:val="20"/>
        </w:rPr>
        <w:t>5-21.</w:t>
      </w:r>
    </w:p>
    <w:p w:rsidR="00797A6E" w:rsidRPr="00643064"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rPr>
      </w:pPr>
      <w:r w:rsidRPr="00643064">
        <w:rPr>
          <w:rFonts w:ascii="Palatino Linotype" w:eastAsia="Palatino Linotype" w:hAnsi="Palatino Linotype" w:cs="Palatino Linotype"/>
          <w:color w:val="000000"/>
          <w:sz w:val="20"/>
          <w:szCs w:val="20"/>
        </w:rPr>
        <w:t>SILVA, R. C. V.; WILSON JÚNIOR</w:t>
      </w:r>
      <w:proofErr w:type="gramStart"/>
      <w:r w:rsidRPr="00643064">
        <w:rPr>
          <w:rFonts w:ascii="Palatino Linotype" w:eastAsia="Palatino Linotype" w:hAnsi="Palatino Linotype" w:cs="Palatino Linotype"/>
          <w:color w:val="000000"/>
          <w:sz w:val="20"/>
          <w:szCs w:val="20"/>
        </w:rPr>
        <w:t>.,</w:t>
      </w:r>
      <w:proofErr w:type="gramEnd"/>
      <w:r w:rsidRPr="00643064">
        <w:rPr>
          <w:rFonts w:ascii="Palatino Linotype" w:eastAsia="Palatino Linotype" w:hAnsi="Palatino Linotype" w:cs="Palatino Linotype"/>
          <w:color w:val="000000"/>
          <w:sz w:val="20"/>
          <w:szCs w:val="20"/>
        </w:rPr>
        <w:t xml:space="preserve"> G. </w:t>
      </w:r>
      <w:r w:rsidRPr="00643064">
        <w:rPr>
          <w:rFonts w:ascii="Palatino Linotype" w:eastAsia="Palatino Linotype" w:hAnsi="Palatino Linotype" w:cs="Palatino Linotype"/>
          <w:b/>
          <w:color w:val="000000"/>
          <w:sz w:val="20"/>
          <w:szCs w:val="20"/>
        </w:rPr>
        <w:t>Hidráulica fluvial</w:t>
      </w:r>
      <w:r w:rsidRPr="00643064">
        <w:rPr>
          <w:rFonts w:ascii="Palatino Linotype" w:eastAsia="Palatino Linotype" w:hAnsi="Palatino Linotype" w:cs="Palatino Linotype"/>
          <w:color w:val="000000"/>
          <w:sz w:val="20"/>
          <w:szCs w:val="20"/>
        </w:rPr>
        <w:t>. Rio de Janeiro: COPPE/UFRJ; 2005.</w:t>
      </w:r>
    </w:p>
    <w:p w:rsidR="00797A6E" w:rsidRPr="00927D2C"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r w:rsidRPr="00927D2C">
        <w:rPr>
          <w:rFonts w:ascii="Palatino Linotype" w:eastAsia="Palatino Linotype" w:hAnsi="Palatino Linotype" w:cs="Palatino Linotype"/>
          <w:color w:val="000000"/>
          <w:sz w:val="20"/>
          <w:szCs w:val="20"/>
          <w:lang w:val="en-US"/>
        </w:rPr>
        <w:t xml:space="preserve">SYVITSKI, J. P. M.; VÖRÖSMARTY, C. J.; KETTNER, A. J.; GREEN P. Impact of humans on the flux of terrestrial sediment to the global coastal ocean. </w:t>
      </w:r>
      <w:r w:rsidRPr="00927D2C">
        <w:rPr>
          <w:rFonts w:ascii="Palatino Linotype" w:eastAsia="Palatino Linotype" w:hAnsi="Palatino Linotype" w:cs="Palatino Linotype"/>
          <w:b/>
          <w:color w:val="000000"/>
          <w:sz w:val="20"/>
          <w:szCs w:val="20"/>
          <w:lang w:val="en-US"/>
        </w:rPr>
        <w:t>Science</w:t>
      </w:r>
      <w:r w:rsidRPr="00927D2C">
        <w:rPr>
          <w:rFonts w:ascii="Palatino Linotype" w:eastAsia="Palatino Linotype" w:hAnsi="Palatino Linotype" w:cs="Palatino Linotype"/>
          <w:color w:val="000000"/>
          <w:sz w:val="20"/>
          <w:szCs w:val="20"/>
          <w:lang w:val="en-US"/>
        </w:rPr>
        <w:t>, 2005, 308(5720):376-380.</w:t>
      </w:r>
    </w:p>
    <w:p w:rsidR="00797A6E" w:rsidRPr="00060F66" w:rsidRDefault="000D7BD9" w:rsidP="00304143">
      <w:pPr>
        <w:pBdr>
          <w:top w:val="nil"/>
          <w:left w:val="nil"/>
          <w:bottom w:val="nil"/>
          <w:right w:val="nil"/>
          <w:between w:val="nil"/>
        </w:pBdr>
        <w:spacing w:before="120" w:after="120"/>
        <w:jc w:val="both"/>
        <w:rPr>
          <w:rFonts w:ascii="Palatino Linotype" w:eastAsia="Palatino Linotype" w:hAnsi="Palatino Linotype" w:cs="Palatino Linotype"/>
          <w:color w:val="000000"/>
          <w:sz w:val="20"/>
          <w:szCs w:val="20"/>
          <w:lang w:val="en-US"/>
        </w:rPr>
      </w:pPr>
      <w:proofErr w:type="gramStart"/>
      <w:r w:rsidRPr="00927D2C">
        <w:rPr>
          <w:rFonts w:ascii="Palatino Linotype" w:eastAsia="Palatino Linotype" w:hAnsi="Palatino Linotype" w:cs="Palatino Linotype"/>
          <w:color w:val="000000"/>
          <w:sz w:val="20"/>
          <w:szCs w:val="20"/>
          <w:lang w:val="en-US"/>
        </w:rPr>
        <w:lastRenderedPageBreak/>
        <w:t>VANONI, V. A. Sediment transportation Mechanics.</w:t>
      </w:r>
      <w:proofErr w:type="gramEnd"/>
      <w:r w:rsidRPr="00927D2C">
        <w:rPr>
          <w:rFonts w:ascii="Palatino Linotype" w:eastAsia="Palatino Linotype" w:hAnsi="Palatino Linotype" w:cs="Palatino Linotype"/>
          <w:color w:val="000000"/>
          <w:sz w:val="20"/>
          <w:szCs w:val="20"/>
          <w:lang w:val="en-US"/>
        </w:rPr>
        <w:t xml:space="preserve"> In: GARCIA, M.H</w:t>
      </w:r>
      <w:proofErr w:type="gramStart"/>
      <w:r w:rsidRPr="00927D2C">
        <w:rPr>
          <w:rFonts w:ascii="Palatino Linotype" w:eastAsia="Palatino Linotype" w:hAnsi="Palatino Linotype" w:cs="Palatino Linotype"/>
          <w:color w:val="000000"/>
          <w:sz w:val="20"/>
          <w:szCs w:val="20"/>
          <w:lang w:val="en-US"/>
        </w:rPr>
        <w:t>.(</w:t>
      </w:r>
      <w:proofErr w:type="gramEnd"/>
      <w:r w:rsidRPr="00927D2C">
        <w:rPr>
          <w:rFonts w:ascii="Palatino Linotype" w:eastAsia="Palatino Linotype" w:hAnsi="Palatino Linotype" w:cs="Palatino Linotype"/>
          <w:color w:val="000000"/>
          <w:sz w:val="20"/>
          <w:szCs w:val="20"/>
          <w:lang w:val="en-US"/>
        </w:rPr>
        <w:t xml:space="preserve">Ed.) </w:t>
      </w:r>
      <w:r w:rsidRPr="00927D2C">
        <w:rPr>
          <w:rFonts w:ascii="Palatino Linotype" w:eastAsia="Palatino Linotype" w:hAnsi="Palatino Linotype" w:cs="Palatino Linotype"/>
          <w:b/>
          <w:color w:val="000000"/>
          <w:sz w:val="20"/>
          <w:szCs w:val="20"/>
          <w:lang w:val="en-US"/>
        </w:rPr>
        <w:t>Sedimentation engineering</w:t>
      </w:r>
      <w:r w:rsidRPr="00927D2C">
        <w:rPr>
          <w:rFonts w:ascii="Palatino Linotype" w:eastAsia="Palatino Linotype" w:hAnsi="Palatino Linotype" w:cs="Palatino Linotype"/>
          <w:color w:val="000000"/>
          <w:sz w:val="20"/>
          <w:szCs w:val="20"/>
          <w:lang w:val="en-US"/>
        </w:rPr>
        <w:t xml:space="preserve">: processes, measurements, modeling, and practices.  Reston: ASCE; 2008. Cap. 2, p. 17-292.  (The ASCE manuals and reports on engineering practice, n.110). </w:t>
      </w:r>
    </w:p>
    <w:sectPr w:rsidR="00797A6E" w:rsidRPr="00060F66" w:rsidSect="000545B2">
      <w:footerReference w:type="first" r:id="rId22"/>
      <w:pgSz w:w="12240" w:h="15840"/>
      <w:pgMar w:top="1134" w:right="1701" w:bottom="567"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478" w:rsidRDefault="004E7478">
      <w:pPr>
        <w:spacing w:after="0" w:line="240" w:lineRule="auto"/>
      </w:pPr>
      <w:r>
        <w:separator/>
      </w:r>
    </w:p>
  </w:endnote>
  <w:endnote w:type="continuationSeparator" w:id="0">
    <w:p w:rsidR="004E7478" w:rsidRDefault="004E74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0F4" w:rsidRDefault="003E00F4">
    <w:pPr>
      <w:pBdr>
        <w:top w:val="nil"/>
        <w:left w:val="nil"/>
        <w:bottom w:val="nil"/>
        <w:right w:val="nil"/>
        <w:between w:val="nil"/>
      </w:pBdr>
      <w:tabs>
        <w:tab w:val="center" w:pos="4252"/>
        <w:tab w:val="right" w:pos="8504"/>
      </w:tabs>
      <w:spacing w:after="0"/>
      <w:ind w:firstLine="284"/>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Recebido: dia/mês/ano Aceito: dia/mês/ano</w:t>
    </w:r>
  </w:p>
  <w:p w:rsidR="003E00F4" w:rsidRDefault="003E00F4">
    <w:pPr>
      <w:pBdr>
        <w:top w:val="nil"/>
        <w:left w:val="nil"/>
        <w:bottom w:val="nil"/>
        <w:right w:val="nil"/>
        <w:between w:val="nil"/>
      </w:pBdr>
      <w:tabs>
        <w:tab w:val="center" w:pos="4252"/>
        <w:tab w:val="right" w:pos="8504"/>
      </w:tabs>
      <w:spacing w:after="0"/>
      <w:ind w:firstLine="284"/>
      <w:jc w:val="both"/>
      <w:rPr>
        <w:rFonts w:ascii="Palatino Linotype" w:eastAsia="Palatino Linotype" w:hAnsi="Palatino Linotype" w:cs="Palatino Linotype"/>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478" w:rsidRDefault="004E7478">
      <w:pPr>
        <w:spacing w:after="0" w:line="240" w:lineRule="auto"/>
      </w:pPr>
      <w:r>
        <w:separator/>
      </w:r>
    </w:p>
  </w:footnote>
  <w:footnote w:type="continuationSeparator" w:id="0">
    <w:p w:rsidR="004E7478" w:rsidRDefault="004E74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C73F2"/>
    <w:multiLevelType w:val="multilevel"/>
    <w:tmpl w:val="D0B8B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1"/>
    <w:footnote w:id="0"/>
  </w:footnotePr>
  <w:endnotePr>
    <w:endnote w:id="-1"/>
    <w:endnote w:id="0"/>
  </w:endnotePr>
  <w:compat/>
  <w:rsids>
    <w:rsidRoot w:val="00797A6E"/>
    <w:rsid w:val="00015AAD"/>
    <w:rsid w:val="00036886"/>
    <w:rsid w:val="000545B2"/>
    <w:rsid w:val="00060F66"/>
    <w:rsid w:val="00086718"/>
    <w:rsid w:val="000D7BD9"/>
    <w:rsid w:val="00104E8F"/>
    <w:rsid w:val="001325F3"/>
    <w:rsid w:val="00151918"/>
    <w:rsid w:val="00152018"/>
    <w:rsid w:val="00154532"/>
    <w:rsid w:val="001F1AB3"/>
    <w:rsid w:val="001F3A27"/>
    <w:rsid w:val="00217E29"/>
    <w:rsid w:val="00220BF2"/>
    <w:rsid w:val="00304143"/>
    <w:rsid w:val="00331F20"/>
    <w:rsid w:val="0035463A"/>
    <w:rsid w:val="003E00F4"/>
    <w:rsid w:val="003E02F2"/>
    <w:rsid w:val="003F3F9C"/>
    <w:rsid w:val="003F6D12"/>
    <w:rsid w:val="004202F3"/>
    <w:rsid w:val="00436ED0"/>
    <w:rsid w:val="0048205E"/>
    <w:rsid w:val="004935E6"/>
    <w:rsid w:val="004A63EE"/>
    <w:rsid w:val="004E7478"/>
    <w:rsid w:val="004F2EF3"/>
    <w:rsid w:val="00527E4A"/>
    <w:rsid w:val="00566316"/>
    <w:rsid w:val="005946FD"/>
    <w:rsid w:val="005A554F"/>
    <w:rsid w:val="005B0885"/>
    <w:rsid w:val="005B14E4"/>
    <w:rsid w:val="00643064"/>
    <w:rsid w:val="006D3BA2"/>
    <w:rsid w:val="006D68D5"/>
    <w:rsid w:val="006F74D5"/>
    <w:rsid w:val="00797A6E"/>
    <w:rsid w:val="007F3114"/>
    <w:rsid w:val="008B6043"/>
    <w:rsid w:val="008F10CF"/>
    <w:rsid w:val="00927D2C"/>
    <w:rsid w:val="00941D4B"/>
    <w:rsid w:val="00980067"/>
    <w:rsid w:val="009A2753"/>
    <w:rsid w:val="009A7318"/>
    <w:rsid w:val="00A4192E"/>
    <w:rsid w:val="00A50611"/>
    <w:rsid w:val="00A83546"/>
    <w:rsid w:val="00AD52D2"/>
    <w:rsid w:val="00B45855"/>
    <w:rsid w:val="00B777B4"/>
    <w:rsid w:val="00B7793A"/>
    <w:rsid w:val="00BA6EAB"/>
    <w:rsid w:val="00BC55E0"/>
    <w:rsid w:val="00C21BF5"/>
    <w:rsid w:val="00C41DE1"/>
    <w:rsid w:val="00CF0E97"/>
    <w:rsid w:val="00D325FB"/>
    <w:rsid w:val="00D600A4"/>
    <w:rsid w:val="00DB1220"/>
    <w:rsid w:val="00E0172D"/>
    <w:rsid w:val="00E03018"/>
    <w:rsid w:val="00E5332B"/>
    <w:rsid w:val="00E675C2"/>
    <w:rsid w:val="00E70071"/>
    <w:rsid w:val="00F01813"/>
    <w:rsid w:val="00F02ED4"/>
    <w:rsid w:val="00F417A5"/>
    <w:rsid w:val="00F5400F"/>
    <w:rsid w:val="00FB712C"/>
    <w:rsid w:val="00FD35C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Conector de Seta Reta 2"/>
        <o:r id="V:Rule5" type="connector" idref="#Conector de Seta Reta 1"/>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5B2"/>
  </w:style>
  <w:style w:type="paragraph" w:styleId="Ttulo1">
    <w:name w:val="heading 1"/>
    <w:basedOn w:val="Normal"/>
    <w:next w:val="Normal"/>
    <w:uiPriority w:val="9"/>
    <w:qFormat/>
    <w:rsid w:val="000545B2"/>
    <w:pPr>
      <w:keepNext/>
      <w:spacing w:after="0"/>
      <w:ind w:firstLine="284"/>
      <w:outlineLvl w:val="0"/>
    </w:pPr>
    <w:rPr>
      <w:rFonts w:ascii="Palatino Linotype" w:eastAsia="Palatino Linotype" w:hAnsi="Palatino Linotype" w:cs="Palatino Linotype"/>
      <w:b/>
      <w:sz w:val="28"/>
      <w:szCs w:val="28"/>
    </w:rPr>
  </w:style>
  <w:style w:type="paragraph" w:styleId="Ttulo2">
    <w:name w:val="heading 2"/>
    <w:basedOn w:val="Normal"/>
    <w:next w:val="Normal"/>
    <w:uiPriority w:val="9"/>
    <w:unhideWhenUsed/>
    <w:qFormat/>
    <w:rsid w:val="000545B2"/>
    <w:pPr>
      <w:keepNext/>
      <w:spacing w:after="0"/>
      <w:ind w:firstLine="284"/>
      <w:jc w:val="center"/>
      <w:outlineLvl w:val="1"/>
    </w:pPr>
    <w:rPr>
      <w:rFonts w:ascii="Palatino Linotype" w:eastAsia="Palatino Linotype" w:hAnsi="Palatino Linotype" w:cs="Palatino Linotype"/>
      <w:sz w:val="24"/>
      <w:szCs w:val="24"/>
    </w:rPr>
  </w:style>
  <w:style w:type="paragraph" w:styleId="Ttulo3">
    <w:name w:val="heading 3"/>
    <w:basedOn w:val="Normal"/>
    <w:next w:val="Normal"/>
    <w:uiPriority w:val="9"/>
    <w:unhideWhenUsed/>
    <w:qFormat/>
    <w:rsid w:val="000545B2"/>
    <w:pPr>
      <w:keepNext/>
      <w:spacing w:after="0"/>
      <w:ind w:firstLine="284"/>
      <w:jc w:val="center"/>
      <w:outlineLvl w:val="2"/>
    </w:pPr>
    <w:rPr>
      <w:rFonts w:ascii="Palatino Linotype" w:eastAsia="Palatino Linotype" w:hAnsi="Palatino Linotype" w:cs="Palatino Linotype"/>
      <w:sz w:val="20"/>
      <w:szCs w:val="20"/>
    </w:rPr>
  </w:style>
  <w:style w:type="paragraph" w:styleId="Ttulo4">
    <w:name w:val="heading 4"/>
    <w:basedOn w:val="Normal"/>
    <w:next w:val="Normal"/>
    <w:uiPriority w:val="9"/>
    <w:unhideWhenUsed/>
    <w:qFormat/>
    <w:rsid w:val="000545B2"/>
    <w:pPr>
      <w:keepNext/>
      <w:spacing w:before="240" w:after="60"/>
      <w:ind w:firstLine="284"/>
      <w:jc w:val="center"/>
      <w:outlineLvl w:val="3"/>
    </w:pPr>
    <w:rPr>
      <w:rFonts w:ascii="Palatino Linotype" w:eastAsia="Palatino Linotype" w:hAnsi="Palatino Linotype" w:cs="Palatino Linotype"/>
      <w:b/>
      <w:sz w:val="24"/>
      <w:szCs w:val="24"/>
    </w:rPr>
  </w:style>
  <w:style w:type="paragraph" w:styleId="Ttulo5">
    <w:name w:val="heading 5"/>
    <w:basedOn w:val="Normal"/>
    <w:next w:val="Normal"/>
    <w:uiPriority w:val="9"/>
    <w:unhideWhenUsed/>
    <w:qFormat/>
    <w:rsid w:val="000545B2"/>
    <w:pPr>
      <w:spacing w:after="0"/>
      <w:ind w:firstLine="284"/>
      <w:jc w:val="both"/>
      <w:outlineLvl w:val="4"/>
    </w:pPr>
    <w:rPr>
      <w:rFonts w:ascii="Palatino Linotype" w:eastAsia="Palatino Linotype" w:hAnsi="Palatino Linotype" w:cs="Palatino Linotype"/>
      <w:i/>
      <w:sz w:val="16"/>
      <w:szCs w:val="16"/>
    </w:rPr>
  </w:style>
  <w:style w:type="paragraph" w:styleId="Ttulo6">
    <w:name w:val="heading 6"/>
    <w:basedOn w:val="Normal"/>
    <w:next w:val="Normal"/>
    <w:uiPriority w:val="9"/>
    <w:semiHidden/>
    <w:unhideWhenUsed/>
    <w:qFormat/>
    <w:rsid w:val="000545B2"/>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545B2"/>
    <w:tblPr>
      <w:tblCellMar>
        <w:top w:w="0" w:type="dxa"/>
        <w:left w:w="0" w:type="dxa"/>
        <w:bottom w:w="0" w:type="dxa"/>
        <w:right w:w="0" w:type="dxa"/>
      </w:tblCellMar>
    </w:tblPr>
  </w:style>
  <w:style w:type="paragraph" w:styleId="Ttulo">
    <w:name w:val="Title"/>
    <w:basedOn w:val="Normal"/>
    <w:next w:val="Normal"/>
    <w:uiPriority w:val="10"/>
    <w:qFormat/>
    <w:rsid w:val="000545B2"/>
    <w:pPr>
      <w:keepNext/>
      <w:keepLines/>
      <w:spacing w:before="480" w:after="120"/>
    </w:pPr>
    <w:rPr>
      <w:b/>
      <w:sz w:val="72"/>
      <w:szCs w:val="72"/>
    </w:rPr>
  </w:style>
  <w:style w:type="paragraph" w:styleId="Subttulo">
    <w:name w:val="Subtitle"/>
    <w:basedOn w:val="Normal"/>
    <w:next w:val="Normal"/>
    <w:uiPriority w:val="11"/>
    <w:qFormat/>
    <w:rsid w:val="000545B2"/>
    <w:pPr>
      <w:keepNext/>
      <w:keepLines/>
      <w:spacing w:before="360" w:after="80"/>
    </w:pPr>
    <w:rPr>
      <w:rFonts w:ascii="Georgia" w:eastAsia="Georgia" w:hAnsi="Georgia" w:cs="Georgia"/>
      <w:i/>
      <w:color w:val="666666"/>
      <w:sz w:val="48"/>
      <w:szCs w:val="48"/>
    </w:rPr>
  </w:style>
  <w:style w:type="table" w:customStyle="1" w:styleId="a">
    <w:basedOn w:val="TableNormal"/>
    <w:rsid w:val="000545B2"/>
    <w:tblPr>
      <w:tblStyleRowBandSize w:val="1"/>
      <w:tblStyleColBandSize w:val="1"/>
      <w:tblCellMar>
        <w:top w:w="0" w:type="dxa"/>
        <w:left w:w="115" w:type="dxa"/>
        <w:bottom w:w="0" w:type="dxa"/>
        <w:right w:w="115" w:type="dxa"/>
      </w:tblCellMar>
    </w:tblPr>
  </w:style>
  <w:style w:type="table" w:customStyle="1" w:styleId="a0">
    <w:basedOn w:val="TableNormal"/>
    <w:rsid w:val="000545B2"/>
    <w:tblPr>
      <w:tblStyleRowBandSize w:val="1"/>
      <w:tblStyleColBandSize w:val="1"/>
      <w:tblCellMar>
        <w:top w:w="0" w:type="dxa"/>
        <w:left w:w="70" w:type="dxa"/>
        <w:bottom w:w="0" w:type="dxa"/>
        <w:right w:w="70" w:type="dxa"/>
      </w:tblCellMar>
    </w:tblPr>
  </w:style>
  <w:style w:type="table" w:customStyle="1" w:styleId="a1">
    <w:basedOn w:val="TableNormal"/>
    <w:rsid w:val="000545B2"/>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rsid w:val="000545B2"/>
    <w:tblPr>
      <w:tblStyleRowBandSize w:val="1"/>
      <w:tblStyleColBandSize w:val="1"/>
      <w:tblCellMar>
        <w:top w:w="0" w:type="dxa"/>
        <w:left w:w="70" w:type="dxa"/>
        <w:bottom w:w="0" w:type="dxa"/>
        <w:right w:w="70" w:type="dxa"/>
      </w:tblCellMar>
    </w:tblPr>
  </w:style>
  <w:style w:type="table" w:customStyle="1" w:styleId="a3">
    <w:basedOn w:val="TableNormal"/>
    <w:rsid w:val="000545B2"/>
    <w:tblPr>
      <w:tblStyleRowBandSize w:val="1"/>
      <w:tblStyleColBandSize w:val="1"/>
      <w:tblCellMar>
        <w:top w:w="0" w:type="dxa"/>
        <w:left w:w="70" w:type="dxa"/>
        <w:bottom w:w="0" w:type="dxa"/>
        <w:right w:w="70" w:type="dxa"/>
      </w:tblCellMar>
    </w:tblPr>
  </w:style>
  <w:style w:type="table" w:customStyle="1" w:styleId="a4">
    <w:basedOn w:val="TableNormal"/>
    <w:rsid w:val="000545B2"/>
    <w:tblPr>
      <w:tblStyleRowBandSize w:val="1"/>
      <w:tblStyleColBandSize w:val="1"/>
      <w:tblCellMar>
        <w:top w:w="0" w:type="dxa"/>
        <w:left w:w="70" w:type="dxa"/>
        <w:bottom w:w="0" w:type="dxa"/>
        <w:right w:w="70" w:type="dxa"/>
      </w:tblCellMar>
    </w:tblPr>
  </w:style>
  <w:style w:type="table" w:customStyle="1" w:styleId="a5">
    <w:basedOn w:val="TableNormal"/>
    <w:rsid w:val="000545B2"/>
    <w:tblPr>
      <w:tblStyleRowBandSize w:val="1"/>
      <w:tblStyleColBandSize w:val="1"/>
      <w:tblCellMar>
        <w:top w:w="0" w:type="dxa"/>
        <w:left w:w="70" w:type="dxa"/>
        <w:bottom w:w="0" w:type="dxa"/>
        <w:right w:w="70" w:type="dxa"/>
      </w:tblCellMar>
    </w:tblPr>
  </w:style>
  <w:style w:type="table" w:customStyle="1" w:styleId="a6">
    <w:basedOn w:val="TableNormal"/>
    <w:rsid w:val="000545B2"/>
    <w:tblPr>
      <w:tblStyleRowBandSize w:val="1"/>
      <w:tblStyleColBandSize w:val="1"/>
      <w:tblCellMar>
        <w:top w:w="0" w:type="dxa"/>
        <w:left w:w="70" w:type="dxa"/>
        <w:bottom w:w="0" w:type="dxa"/>
        <w:right w:w="70" w:type="dxa"/>
      </w:tblCellMar>
    </w:tblPr>
  </w:style>
  <w:style w:type="table" w:customStyle="1" w:styleId="a7">
    <w:basedOn w:val="TableNormal"/>
    <w:rsid w:val="000545B2"/>
    <w:tblPr>
      <w:tblStyleRowBandSize w:val="1"/>
      <w:tblStyleColBandSize w:val="1"/>
      <w:tblCellMar>
        <w:top w:w="0" w:type="dxa"/>
        <w:left w:w="70" w:type="dxa"/>
        <w:bottom w:w="0" w:type="dxa"/>
        <w:right w:w="70" w:type="dxa"/>
      </w:tblCellMar>
    </w:tblPr>
  </w:style>
  <w:style w:type="table" w:customStyle="1" w:styleId="a8">
    <w:basedOn w:val="TableNormal"/>
    <w:rsid w:val="000545B2"/>
    <w:pPr>
      <w:spacing w:after="0" w:line="240" w:lineRule="auto"/>
    </w:pPr>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5191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1918"/>
    <w:rPr>
      <w:rFonts w:ascii="Segoe UI" w:hAnsi="Segoe UI" w:cs="Segoe UI"/>
      <w:sz w:val="18"/>
      <w:szCs w:val="18"/>
    </w:rPr>
  </w:style>
  <w:style w:type="character" w:styleId="Refdecomentrio">
    <w:name w:val="annotation reference"/>
    <w:basedOn w:val="Fontepargpadro"/>
    <w:uiPriority w:val="99"/>
    <w:semiHidden/>
    <w:unhideWhenUsed/>
    <w:rsid w:val="00643064"/>
    <w:rPr>
      <w:sz w:val="16"/>
      <w:szCs w:val="16"/>
    </w:rPr>
  </w:style>
  <w:style w:type="paragraph" w:styleId="Textodecomentrio">
    <w:name w:val="annotation text"/>
    <w:basedOn w:val="Normal"/>
    <w:link w:val="TextodecomentrioChar"/>
    <w:uiPriority w:val="99"/>
    <w:semiHidden/>
    <w:unhideWhenUsed/>
    <w:rsid w:val="0064306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43064"/>
    <w:rPr>
      <w:sz w:val="20"/>
      <w:szCs w:val="20"/>
    </w:rPr>
  </w:style>
  <w:style w:type="paragraph" w:styleId="Assuntodocomentrio">
    <w:name w:val="annotation subject"/>
    <w:basedOn w:val="Textodecomentrio"/>
    <w:next w:val="Textodecomentrio"/>
    <w:link w:val="AssuntodocomentrioChar"/>
    <w:uiPriority w:val="99"/>
    <w:semiHidden/>
    <w:unhideWhenUsed/>
    <w:rsid w:val="00643064"/>
    <w:rPr>
      <w:b/>
      <w:bCs/>
    </w:rPr>
  </w:style>
  <w:style w:type="character" w:customStyle="1" w:styleId="AssuntodocomentrioChar">
    <w:name w:val="Assunto do comentário Char"/>
    <w:basedOn w:val="TextodecomentrioChar"/>
    <w:link w:val="Assuntodocomentrio"/>
    <w:uiPriority w:val="99"/>
    <w:semiHidden/>
    <w:rsid w:val="00643064"/>
    <w:rPr>
      <w:b/>
      <w:bCs/>
      <w:sz w:val="20"/>
      <w:szCs w:val="20"/>
    </w:rPr>
  </w:style>
  <w:style w:type="paragraph" w:customStyle="1" w:styleId="TitulacaoFiliacao1Pagina">
    <w:name w:val="TitulacaoFiliacao (1ªPagina)"/>
    <w:basedOn w:val="Normal"/>
    <w:uiPriority w:val="99"/>
    <w:rsid w:val="00154532"/>
    <w:pPr>
      <w:suppressAutoHyphens/>
      <w:autoSpaceDE w:val="0"/>
      <w:autoSpaceDN w:val="0"/>
      <w:adjustRightInd w:val="0"/>
      <w:spacing w:after="0" w:line="240" w:lineRule="atLeast"/>
      <w:ind w:firstLine="284"/>
      <w:jc w:val="center"/>
      <w:textAlignment w:val="center"/>
    </w:pPr>
    <w:rPr>
      <w:rFonts w:ascii="Palatino Linotype" w:hAnsi="Palatino Linotype" w:cs="Palatino Linotype"/>
      <w:color w:val="000000"/>
    </w:rPr>
  </w:style>
  <w:style w:type="paragraph" w:customStyle="1" w:styleId="DOI">
    <w:name w:val="DOI"/>
    <w:basedOn w:val="Normal"/>
    <w:uiPriority w:val="99"/>
    <w:rsid w:val="0035463A"/>
    <w:pPr>
      <w:autoSpaceDE w:val="0"/>
      <w:autoSpaceDN w:val="0"/>
      <w:adjustRightInd w:val="0"/>
      <w:spacing w:after="0" w:line="220" w:lineRule="atLeast"/>
      <w:ind w:firstLine="284"/>
      <w:jc w:val="right"/>
      <w:textAlignment w:val="center"/>
    </w:pPr>
    <w:rPr>
      <w:rFonts w:ascii="Calisto MT" w:hAnsi="Calisto MT" w:cs="Calisto MT"/>
      <w:color w:val="000000"/>
      <w:sz w:val="16"/>
      <w:szCs w:val="16"/>
    </w:rPr>
  </w:style>
  <w:style w:type="character" w:customStyle="1" w:styleId="palavrachave">
    <w:name w:val="palavra_chave"/>
    <w:uiPriority w:val="99"/>
    <w:rsid w:val="0035463A"/>
    <w:rPr>
      <w:rFonts w:ascii="Calisto MT" w:hAnsi="Calisto MT" w:cs="Calisto MT"/>
      <w:b/>
      <w:bCs/>
      <w:color w:val="000000"/>
      <w:sz w:val="16"/>
      <w:szCs w:val="16"/>
      <w:lang w:val="pt-BR"/>
    </w:rPr>
  </w:style>
  <w:style w:type="character" w:customStyle="1" w:styleId="negritoItalico">
    <w:name w:val="negrito_Italico"/>
    <w:uiPriority w:val="99"/>
    <w:rsid w:val="0035463A"/>
    <w:rPr>
      <w:rFonts w:ascii="Calisto MT" w:hAnsi="Calisto MT" w:cs="Calisto MT"/>
      <w:b/>
      <w:bCs/>
      <w:i/>
      <w:iCs/>
      <w:color w:val="000000"/>
      <w:spacing w:val="1"/>
      <w:sz w:val="16"/>
      <w:szCs w:val="16"/>
    </w:rPr>
  </w:style>
  <w:style w:type="character" w:styleId="Hyperlink">
    <w:name w:val="Hyperlink"/>
    <w:basedOn w:val="Fontepargpadro"/>
    <w:uiPriority w:val="99"/>
    <w:unhideWhenUsed/>
    <w:rsid w:val="00F01813"/>
    <w:rPr>
      <w:color w:val="0000FF" w:themeColor="hyperlink"/>
      <w:u w:val="single"/>
    </w:rPr>
  </w:style>
  <w:style w:type="character" w:customStyle="1" w:styleId="UnresolvedMention">
    <w:name w:val="Unresolved Mention"/>
    <w:basedOn w:val="Fontepargpadro"/>
    <w:uiPriority w:val="99"/>
    <w:semiHidden/>
    <w:unhideWhenUsed/>
    <w:rsid w:val="00F018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6701</Words>
  <Characters>36189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uem</Company>
  <LinksUpToDate>false</LinksUpToDate>
  <CharactersWithSpaces>42805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Cristhiane</dc:creator>
  <cp:lastModifiedBy>Prof. Cristhiane</cp:lastModifiedBy>
  <cp:revision>2</cp:revision>
  <dcterms:created xsi:type="dcterms:W3CDTF">2019-07-18T13:33:00Z</dcterms:created>
  <dcterms:modified xsi:type="dcterms:W3CDTF">2019-07-18T13:33:00Z</dcterms:modified>
</cp:coreProperties>
</file>