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008" w:rsidRPr="003F0008" w:rsidRDefault="003F0008" w:rsidP="003F00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y2iqfc"/>
          <w:rFonts w:eastAsia="Times New Roman" w:cstheme="minorHAnsi"/>
          <w:color w:val="202124"/>
          <w:lang w:eastAsia="pt-BR"/>
        </w:rPr>
      </w:pPr>
      <w:r w:rsidRPr="003F0008">
        <w:rPr>
          <w:rStyle w:val="y2iqfc"/>
          <w:rFonts w:cstheme="minorHAnsi"/>
          <w:b/>
          <w:color w:val="202124"/>
          <w:lang/>
        </w:rPr>
        <w:t>Plagiarism Policy</w:t>
      </w:r>
    </w:p>
    <w:p w:rsidR="003F0008" w:rsidRPr="003F0008" w:rsidRDefault="003F0008" w:rsidP="003F0008">
      <w:pPr>
        <w:pStyle w:val="Pr-formataoHTML"/>
        <w:jc w:val="both"/>
        <w:rPr>
          <w:rStyle w:val="y2iqfc"/>
          <w:rFonts w:asciiTheme="minorHAnsi" w:hAnsiTheme="minorHAnsi" w:cstheme="minorHAnsi"/>
          <w:b/>
          <w:color w:val="202124"/>
          <w:sz w:val="22"/>
          <w:szCs w:val="22"/>
          <w:lang/>
        </w:rPr>
      </w:pP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 xml:space="preserve">The Journal adopts the </w:t>
      </w:r>
      <w:proofErr w:type="spellStart"/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CrossRef</w:t>
      </w:r>
      <w:proofErr w:type="spellEnd"/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 xml:space="preserve"> system to identify plagiarism.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Ethical Principles and procedures to avoid bad practices in scientific production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1) Responsibility of the authors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Authors are responsible for the content of their articles, as well as the copyright of images, videos and any textual or complementary elements to their article.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 xml:space="preserve"> - The authors agree to work free of charge on the peer review process for this journal in the future.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The authors declare that they have a significant contribution to the research disclosed in their article, when applicable.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Authors are obliged to offer the journal retractions or corrections of any errors.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Authors must ensure that their text is an original work and must not submit the same text to more than one journal.</w:t>
      </w:r>
    </w:p>
    <w:p w:rsid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If the article was written based on research that presents real risks for participants, it is mandatory to present an opinion from the Ethics Committee of the researcher's institution.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2) The evaluation process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All content of the magazine is subject to peer review using the double-blind peer review method.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Peer review is the process of obtaining opinions on individual manuscripts from expert reviewers in the field. This process is clearly described on our website.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Opinions must be as objective as possible and sufficiently based to allow the improvement of the research and the evaluated text.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Evaluators must not have conflicts of interest and declare this in writing in the journal system when carrying out an evaluation.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Evaluators should always draw attention to texts or excerpts that have already been published and that have not been properly cited.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All evaluated articles are treated confidentially.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The journal understands that any form of plagiarism is not acceptable and uses anti-plagiarism review tools.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The final decision on whether or not to publish a text rests with the editors. Whenever a text has academic quality and meets the criteria established by the journal, it is sent for double-blind peer review by at least two evaluators.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The only evaluation criteria are the academic merit of the text and the improvement of the quality of knowledge, with no discrimination against authors, for any reasons.</w:t>
      </w:r>
    </w:p>
    <w:p w:rsidR="003F0008" w:rsidRP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lastRenderedPageBreak/>
        <w:t>- Editors are not allowed to use information contained in the articles under evaluation without the explicit consent of the authors.</w:t>
      </w:r>
    </w:p>
    <w:p w:rsidR="003F0008" w:rsidRDefault="003F0008" w:rsidP="003F0008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3F0008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Editors are available to answer any ethical questions linked to a submission.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3) Publication Ethics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Editors make considerable efforts to avoid and prevent the publication of articles in which research misconduct has occurred.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In no case do we encourage misconduct or allow it to happen.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Any allegation of improper research conduct is immediately investigated.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The magazine publishes errata to correct articles when necessary.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 xml:space="preserve">- The magazine is always willing to publish corrections, clarifications, </w:t>
      </w:r>
      <w:proofErr w:type="gramStart"/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right</w:t>
      </w:r>
      <w:proofErr w:type="gramEnd"/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 xml:space="preserve"> of reply, retractions and apologies when necessary.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4) Copyright and Universal Access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The licenses used by the journal are described on this website.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All articles in full content are free of charge and are available in their entirety to any reader without the need for registration or password.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5) Other principles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Information about the ownership, authorship rights and/or management of the magazine is clearly indicated in the “about” menu on the magazine website.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This magazine publishes a single annual volume, continuous publication, in addition to using the ahead of print format.</w:t>
      </w:r>
    </w:p>
    <w:p w:rsidR="00EB62B4" w:rsidRPr="00EB62B4" w:rsidRDefault="00EB62B4" w:rsidP="00EB62B4">
      <w:pPr>
        <w:pStyle w:val="Pr-formataoHTML"/>
        <w:spacing w:after="240"/>
        <w:jc w:val="both"/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</w:pPr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- This journal does not charge any type of submission, evaluation or publication fee, but may require the translation of the article to be sent by the author himself.</w:t>
      </w:r>
    </w:p>
    <w:p w:rsidR="00EB62B4" w:rsidRPr="00EB62B4" w:rsidRDefault="00EB62B4" w:rsidP="00EB62B4">
      <w:pPr>
        <w:pStyle w:val="Pr-formataoHTML"/>
        <w:spacing w:after="240"/>
        <w:jc w:val="both"/>
        <w:rPr>
          <w:rFonts w:asciiTheme="minorHAnsi" w:hAnsiTheme="minorHAnsi" w:cstheme="minorHAnsi"/>
          <w:color w:val="202124"/>
          <w:sz w:val="22"/>
          <w:szCs w:val="22"/>
        </w:rPr>
      </w:pPr>
      <w:proofErr w:type="spellStart"/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>Turnitin</w:t>
      </w:r>
      <w:proofErr w:type="spellEnd"/>
      <w:r w:rsidRPr="00EB62B4">
        <w:rPr>
          <w:rStyle w:val="y2iqfc"/>
          <w:rFonts w:asciiTheme="minorHAnsi" w:hAnsiTheme="minorHAnsi" w:cstheme="minorHAnsi"/>
          <w:color w:val="202124"/>
          <w:sz w:val="22"/>
          <w:szCs w:val="22"/>
          <w:lang/>
        </w:rPr>
        <w:t xml:space="preserve"> – Originality checking and plagiarism prevention software.</w:t>
      </w:r>
    </w:p>
    <w:p w:rsidR="00EB62B4" w:rsidRPr="003F0008" w:rsidRDefault="00EB62B4" w:rsidP="00EB62B4">
      <w:pPr>
        <w:pStyle w:val="Pr-formataoHTML"/>
        <w:spacing w:after="240"/>
        <w:jc w:val="both"/>
        <w:rPr>
          <w:rFonts w:asciiTheme="minorHAnsi" w:hAnsiTheme="minorHAnsi" w:cstheme="minorHAnsi"/>
          <w:color w:val="202124"/>
          <w:sz w:val="22"/>
          <w:szCs w:val="22"/>
        </w:rPr>
      </w:pPr>
    </w:p>
    <w:p w:rsidR="003F0008" w:rsidRPr="003F0008" w:rsidRDefault="003F0008" w:rsidP="003F0008">
      <w:pPr>
        <w:pStyle w:val="Pr-formataoHTML"/>
        <w:spacing w:after="240"/>
        <w:jc w:val="both"/>
        <w:rPr>
          <w:rFonts w:asciiTheme="minorHAnsi" w:hAnsiTheme="minorHAnsi" w:cstheme="minorHAnsi"/>
          <w:color w:val="202124"/>
          <w:sz w:val="22"/>
          <w:szCs w:val="22"/>
        </w:rPr>
      </w:pPr>
    </w:p>
    <w:p w:rsidR="003F0008" w:rsidRDefault="003F0008" w:rsidP="003F0008">
      <w:pPr>
        <w:spacing w:after="240"/>
      </w:pPr>
    </w:p>
    <w:sectPr w:rsidR="003F0008" w:rsidSect="00FF0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D58"/>
    <w:rsid w:val="003F0008"/>
    <w:rsid w:val="00C72D58"/>
    <w:rsid w:val="00EB62B4"/>
    <w:rsid w:val="00F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4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72D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72D58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C72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Joana</cp:lastModifiedBy>
  <cp:revision>2</cp:revision>
  <dcterms:created xsi:type="dcterms:W3CDTF">2023-12-07T18:35:00Z</dcterms:created>
  <dcterms:modified xsi:type="dcterms:W3CDTF">2023-12-07T18:53:00Z</dcterms:modified>
</cp:coreProperties>
</file>